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DA7D89" w:rsidRPr="00FA5BFE" w:rsidRDefault="00DA7D89" w:rsidP="00FA5BFE">
      <w:pPr>
        <w:spacing w:line="480" w:lineRule="auto"/>
        <w:jc w:val="center"/>
        <w:rPr>
          <w:rFonts w:ascii="Times New Roman" w:hAnsi="Times New Roman" w:cs="Times New Roman"/>
          <w:sz w:val="24"/>
          <w:szCs w:val="24"/>
        </w:rPr>
      </w:pPr>
    </w:p>
    <w:p w:rsidR="001D36C7" w:rsidRPr="00FA5BFE" w:rsidRDefault="001D36C7" w:rsidP="00FA5BFE">
      <w:pPr>
        <w:spacing w:line="480" w:lineRule="auto"/>
        <w:jc w:val="center"/>
        <w:rPr>
          <w:rFonts w:ascii="Times New Roman" w:hAnsi="Times New Roman" w:cs="Times New Roman"/>
          <w:sz w:val="24"/>
          <w:szCs w:val="24"/>
        </w:rPr>
      </w:pPr>
      <w:r w:rsidRPr="00FA5BFE">
        <w:rPr>
          <w:rFonts w:ascii="Times New Roman" w:hAnsi="Times New Roman" w:cs="Times New Roman"/>
          <w:sz w:val="24"/>
          <w:szCs w:val="24"/>
        </w:rPr>
        <w:t>Project Decision Making</w:t>
      </w:r>
    </w:p>
    <w:p w:rsidR="00D85647" w:rsidRPr="00FA5BFE" w:rsidRDefault="00D85647" w:rsidP="00FA5BFE">
      <w:pPr>
        <w:spacing w:line="480" w:lineRule="auto"/>
        <w:jc w:val="center"/>
        <w:rPr>
          <w:rFonts w:ascii="Times New Roman" w:hAnsi="Times New Roman" w:cs="Times New Roman"/>
          <w:sz w:val="24"/>
          <w:szCs w:val="24"/>
        </w:rPr>
      </w:pPr>
      <w:r w:rsidRPr="00FA5BFE">
        <w:rPr>
          <w:rFonts w:ascii="Times New Roman" w:hAnsi="Times New Roman" w:cs="Times New Roman"/>
          <w:sz w:val="24"/>
          <w:szCs w:val="24"/>
        </w:rPr>
        <w:t>Student’s Name</w:t>
      </w:r>
    </w:p>
    <w:p w:rsidR="00D85647" w:rsidRPr="00FA5BFE" w:rsidRDefault="00D85647" w:rsidP="00FA5BFE">
      <w:pPr>
        <w:spacing w:line="480" w:lineRule="auto"/>
        <w:jc w:val="center"/>
        <w:rPr>
          <w:rFonts w:ascii="Times New Roman" w:hAnsi="Times New Roman" w:cs="Times New Roman"/>
          <w:sz w:val="24"/>
          <w:szCs w:val="24"/>
        </w:rPr>
      </w:pPr>
      <w:r w:rsidRPr="00FA5BFE">
        <w:rPr>
          <w:rFonts w:ascii="Times New Roman" w:hAnsi="Times New Roman" w:cs="Times New Roman"/>
          <w:sz w:val="24"/>
          <w:szCs w:val="24"/>
        </w:rPr>
        <w:t>Institution</w:t>
      </w:r>
    </w:p>
    <w:p w:rsidR="006F145A" w:rsidRPr="00FA5BFE" w:rsidRDefault="006F145A" w:rsidP="00FA5BFE">
      <w:pPr>
        <w:spacing w:line="480" w:lineRule="auto"/>
        <w:rPr>
          <w:rFonts w:ascii="Times New Roman" w:hAnsi="Times New Roman" w:cs="Times New Roman"/>
          <w:sz w:val="24"/>
          <w:szCs w:val="24"/>
        </w:rPr>
      </w:pPr>
      <w:r w:rsidRPr="00FA5BFE">
        <w:rPr>
          <w:rFonts w:ascii="Times New Roman" w:hAnsi="Times New Roman" w:cs="Times New Roman"/>
          <w:sz w:val="24"/>
          <w:szCs w:val="24"/>
        </w:rPr>
        <w:br w:type="page"/>
      </w:r>
    </w:p>
    <w:p w:rsidR="009238A7" w:rsidRPr="00FA5BFE" w:rsidRDefault="009238A7" w:rsidP="00BA2F86">
      <w:pPr>
        <w:spacing w:after="0" w:line="480" w:lineRule="auto"/>
        <w:contextualSpacing/>
        <w:jc w:val="center"/>
        <w:rPr>
          <w:rFonts w:ascii="Times New Roman" w:hAnsi="Times New Roman" w:cs="Times New Roman"/>
          <w:sz w:val="24"/>
          <w:szCs w:val="24"/>
        </w:rPr>
      </w:pPr>
      <w:r w:rsidRPr="00FA5BFE">
        <w:rPr>
          <w:rFonts w:ascii="Times New Roman" w:hAnsi="Times New Roman" w:cs="Times New Roman"/>
          <w:sz w:val="24"/>
          <w:szCs w:val="24"/>
        </w:rPr>
        <w:lastRenderedPageBreak/>
        <w:t>Executive Summary</w:t>
      </w:r>
    </w:p>
    <w:p w:rsidR="003D406E" w:rsidRPr="00FA5BFE" w:rsidRDefault="003D406E"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ab/>
        <w:t>Strategic projects are a common business venture adopted by firms as a measure of growth. These projects demand critical investment decision-making tools to determine the viability of each project available for implementation. The method of financing investments varies from debt to equity finances</w:t>
      </w:r>
      <w:r w:rsidR="00B55B12" w:rsidRPr="00FA5BFE">
        <w:rPr>
          <w:rFonts w:ascii="Times New Roman" w:hAnsi="Times New Roman" w:cs="Times New Roman"/>
          <w:sz w:val="24"/>
          <w:szCs w:val="24"/>
        </w:rPr>
        <w:t>, whose ratio ought to change with respect to shareholder value (Mahmood et al., 2011)</w:t>
      </w:r>
      <w:r w:rsidRPr="00FA5BFE">
        <w:rPr>
          <w:rFonts w:ascii="Times New Roman" w:hAnsi="Times New Roman" w:cs="Times New Roman"/>
          <w:sz w:val="24"/>
          <w:szCs w:val="24"/>
        </w:rPr>
        <w:t>. Organizations take up projects to increase their revenue generation levels as a measure of remaining competitive in the market place. The option to invest in the building of new stores or takeovers is a strategic decision that redefines the respective organization’s market position. Scylace has at its disposal the option of building new superstores at location A and B or building one store and taking over the Helibeb’s clothing retail store. The most viable project likely to be adopted is expected to result in the adjustment of the firm’s marketing positioning due to the changes expected to occur on productivity and profitability levels.</w:t>
      </w:r>
    </w:p>
    <w:p w:rsidR="003D406E" w:rsidRPr="00FA5BFE" w:rsidRDefault="003D406E"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ab/>
        <w:t>According to the assessments carried out on the investment cost and the projected financial reports, the most viable project that will be implemented is the building of a superstore in location A and acquisition of Helibeb’s plc. The new establishment put up in location A is quite costly, but the returns are worthy of the venture. Mergers and acquisitions are a standard mechanism used to facilitate the growth of a firm</w:t>
      </w:r>
      <w:r w:rsidR="00B55B12" w:rsidRPr="00FA5BFE">
        <w:rPr>
          <w:rFonts w:ascii="Times New Roman" w:hAnsi="Times New Roman" w:cs="Times New Roman"/>
          <w:sz w:val="24"/>
          <w:szCs w:val="24"/>
        </w:rPr>
        <w:t xml:space="preserve"> through diversification (Pachulia, 2018)</w:t>
      </w:r>
      <w:r w:rsidRPr="00FA5BFE">
        <w:rPr>
          <w:rFonts w:ascii="Times New Roman" w:hAnsi="Times New Roman" w:cs="Times New Roman"/>
          <w:sz w:val="24"/>
          <w:szCs w:val="24"/>
        </w:rPr>
        <w:t>. Based on the financial projections presented for Helibeb plc, the takeover option is also a viable</w:t>
      </w:r>
      <w:r w:rsidR="00ED7733" w:rsidRPr="00FA5BFE">
        <w:rPr>
          <w:rFonts w:ascii="Times New Roman" w:hAnsi="Times New Roman" w:cs="Times New Roman"/>
          <w:sz w:val="24"/>
          <w:szCs w:val="24"/>
        </w:rPr>
        <w:t xml:space="preserve"> acquisition</w:t>
      </w:r>
      <w:r w:rsidRPr="00FA5BFE">
        <w:rPr>
          <w:rFonts w:ascii="Times New Roman" w:hAnsi="Times New Roman" w:cs="Times New Roman"/>
          <w:sz w:val="24"/>
          <w:szCs w:val="24"/>
        </w:rPr>
        <w:t xml:space="preserve"> project worthy investment. The viability is based on the profitability and productivity of the project, which is accounted for through the calculation of financial ratios.</w:t>
      </w:r>
      <w:r w:rsidR="00ED7733" w:rsidRPr="00FA5BFE">
        <w:rPr>
          <w:rFonts w:ascii="Times New Roman" w:hAnsi="Times New Roman" w:cs="Times New Roman"/>
          <w:sz w:val="24"/>
          <w:szCs w:val="24"/>
        </w:rPr>
        <w:t xml:space="preserve"> Acquisitions are beneficial compared to working alone based on factors such as increased return on equity and lowered expenses (Malik et al., 2014). </w:t>
      </w:r>
      <w:r w:rsidRPr="00FA5BFE">
        <w:rPr>
          <w:rFonts w:ascii="Times New Roman" w:hAnsi="Times New Roman" w:cs="Times New Roman"/>
          <w:sz w:val="24"/>
          <w:szCs w:val="24"/>
        </w:rPr>
        <w:t>Some of the financial calculations done include estimation of the net profit margin, book gearing, and the turnover of capital employed. These ratios give insight into the financial health status of Helibeb plc.</w:t>
      </w:r>
    </w:p>
    <w:p w:rsidR="003D406E" w:rsidRPr="00FA5BFE" w:rsidRDefault="003D406E"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  </w:t>
      </w:r>
    </w:p>
    <w:p w:rsidR="003D406E" w:rsidRPr="00FA5BFE" w:rsidRDefault="003D406E" w:rsidP="00BA2F86">
      <w:pPr>
        <w:spacing w:after="0" w:line="480" w:lineRule="auto"/>
        <w:contextualSpacing/>
        <w:jc w:val="center"/>
        <w:rPr>
          <w:rFonts w:ascii="Times New Roman" w:hAnsi="Times New Roman" w:cs="Times New Roman"/>
          <w:sz w:val="24"/>
          <w:szCs w:val="24"/>
        </w:rPr>
      </w:pPr>
      <w:r w:rsidRPr="00FA5BFE">
        <w:rPr>
          <w:rFonts w:ascii="Times New Roman" w:hAnsi="Times New Roman" w:cs="Times New Roman"/>
          <w:sz w:val="24"/>
          <w:szCs w:val="24"/>
        </w:rPr>
        <w:br w:type="page"/>
        <w:t>Project Decision Making</w:t>
      </w:r>
    </w:p>
    <w:p w:rsidR="003D406E" w:rsidRPr="00FA5BFE" w:rsidRDefault="003D406E" w:rsidP="00BA2F86">
      <w:pPr>
        <w:spacing w:after="0" w:line="480" w:lineRule="auto"/>
        <w:contextualSpacing/>
        <w:jc w:val="center"/>
        <w:rPr>
          <w:rFonts w:ascii="Times New Roman" w:hAnsi="Times New Roman" w:cs="Times New Roman"/>
          <w:b/>
          <w:sz w:val="24"/>
          <w:szCs w:val="24"/>
        </w:rPr>
      </w:pPr>
      <w:r w:rsidRPr="00FA5BFE">
        <w:rPr>
          <w:rFonts w:ascii="Times New Roman" w:hAnsi="Times New Roman" w:cs="Times New Roman"/>
          <w:b/>
          <w:sz w:val="24"/>
          <w:szCs w:val="24"/>
        </w:rPr>
        <w:t>Introduction</w:t>
      </w:r>
    </w:p>
    <w:p w:rsidR="003D406E" w:rsidRPr="00FA5BFE" w:rsidRDefault="00C12997"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ab/>
      </w:r>
      <w:r w:rsidR="00A4692D" w:rsidRPr="00FA5BFE">
        <w:rPr>
          <w:rFonts w:ascii="Times New Roman" w:hAnsi="Times New Roman" w:cs="Times New Roman"/>
          <w:sz w:val="24"/>
          <w:szCs w:val="24"/>
        </w:rPr>
        <w:t>Investment analysis is an important step in the selection of viable projects (</w:t>
      </w:r>
      <w:r w:rsidR="009C30C9" w:rsidRPr="00FA5BFE">
        <w:rPr>
          <w:rFonts w:ascii="Times New Roman" w:hAnsi="Times New Roman" w:cs="Times New Roman"/>
          <w:sz w:val="24"/>
          <w:szCs w:val="24"/>
        </w:rPr>
        <w:t>Shvetsova</w:t>
      </w:r>
      <w:r w:rsidR="00A4692D" w:rsidRPr="00FA5BFE">
        <w:rPr>
          <w:rFonts w:ascii="Times New Roman" w:hAnsi="Times New Roman" w:cs="Times New Roman"/>
          <w:sz w:val="24"/>
          <w:szCs w:val="24"/>
        </w:rPr>
        <w:t>,</w:t>
      </w:r>
      <w:r w:rsidR="009C30C9" w:rsidRPr="00FA5BFE">
        <w:rPr>
          <w:rFonts w:ascii="Times New Roman" w:hAnsi="Times New Roman" w:cs="Times New Roman"/>
          <w:sz w:val="24"/>
          <w:szCs w:val="24"/>
        </w:rPr>
        <w:t xml:space="preserve"> Rodionova &amp; Epstein,</w:t>
      </w:r>
      <w:r w:rsidR="00A4692D" w:rsidRPr="00FA5BFE">
        <w:rPr>
          <w:rFonts w:ascii="Times New Roman" w:hAnsi="Times New Roman" w:cs="Times New Roman"/>
          <w:sz w:val="24"/>
          <w:szCs w:val="24"/>
        </w:rPr>
        <w:t xml:space="preserve"> 2018). Investment projects are a critical element of business growth that take the form of proposals which a firm can implement if it is rendered viable from the perspective of financial projections. </w:t>
      </w:r>
      <w:r w:rsidR="009C30C9" w:rsidRPr="00FA5BFE">
        <w:rPr>
          <w:rFonts w:ascii="Times New Roman" w:hAnsi="Times New Roman" w:cs="Times New Roman"/>
          <w:sz w:val="24"/>
          <w:szCs w:val="24"/>
        </w:rPr>
        <w:t xml:space="preserve">On that note, decision making processes to evaluate projects and alternatives is crucial (Lukicheva &amp; Egorychev, 2016). </w:t>
      </w:r>
      <w:r w:rsidR="003D406E" w:rsidRPr="00FA5BFE">
        <w:rPr>
          <w:rFonts w:ascii="Times New Roman" w:hAnsi="Times New Roman" w:cs="Times New Roman"/>
          <w:sz w:val="24"/>
          <w:szCs w:val="24"/>
        </w:rPr>
        <w:t xml:space="preserve">Scylace plc is a retail store that takes care of customer’s grocery needs. The grocery retail chain wants to acquire Helibeb or build superstores in two locations. Scylace’s investment decision will be based on an assessment of the viability of the aforementioned projects. According to Schwerdt (2010), investment decisions are guided by the selection of assets and liabilities to achieve an optimal portfolio that increases value for a firm. As a result, a detailed financial description of both projects will be provided to arrive at an appropriate recommendation on the best investment decision. </w:t>
      </w:r>
      <w:r w:rsidR="000A37F0" w:rsidRPr="00FA5BFE">
        <w:rPr>
          <w:rFonts w:ascii="Times New Roman" w:hAnsi="Times New Roman" w:cs="Times New Roman"/>
          <w:sz w:val="24"/>
          <w:szCs w:val="24"/>
        </w:rPr>
        <w:t xml:space="preserve">Financial projections </w:t>
      </w:r>
      <w:r w:rsidR="004572F5" w:rsidRPr="00FA5BFE">
        <w:rPr>
          <w:rFonts w:ascii="Times New Roman" w:hAnsi="Times New Roman" w:cs="Times New Roman"/>
          <w:sz w:val="24"/>
          <w:szCs w:val="24"/>
        </w:rPr>
        <w:t xml:space="preserve">are part of planning that inform a firm of </w:t>
      </w:r>
      <w:r w:rsidR="004918A6" w:rsidRPr="00FA5BFE">
        <w:rPr>
          <w:rFonts w:ascii="Times New Roman" w:hAnsi="Times New Roman" w:cs="Times New Roman"/>
          <w:sz w:val="24"/>
          <w:szCs w:val="24"/>
        </w:rPr>
        <w:t xml:space="preserve">the factors likely to influence a project (Vijendra, 2014). </w:t>
      </w:r>
      <w:r w:rsidR="003D406E" w:rsidRPr="00FA5BFE">
        <w:rPr>
          <w:rFonts w:ascii="Times New Roman" w:hAnsi="Times New Roman" w:cs="Times New Roman"/>
          <w:sz w:val="24"/>
          <w:szCs w:val="24"/>
        </w:rPr>
        <w:t>The factors critical in the selection of an optimal investment between building both superstores in location A and B and acquiring Helibeb include the return on investment, expected profitability levels, and different stakeholder satisfaction rates including the shareholders. On that note, an analysis of the aforementioned factors will be conducted, and the viable projects for Scylace plc are provided.</w:t>
      </w:r>
    </w:p>
    <w:p w:rsidR="003D406E" w:rsidRPr="00FA5BFE" w:rsidRDefault="003D406E" w:rsidP="00BA2F86">
      <w:pPr>
        <w:spacing w:after="0" w:line="480" w:lineRule="auto"/>
        <w:contextualSpacing/>
        <w:jc w:val="center"/>
        <w:rPr>
          <w:rFonts w:ascii="Times New Roman" w:hAnsi="Times New Roman" w:cs="Times New Roman"/>
          <w:b/>
          <w:sz w:val="24"/>
          <w:szCs w:val="24"/>
        </w:rPr>
      </w:pPr>
      <w:r w:rsidRPr="00FA5BFE">
        <w:rPr>
          <w:rFonts w:ascii="Times New Roman" w:hAnsi="Times New Roman" w:cs="Times New Roman"/>
          <w:b/>
          <w:sz w:val="24"/>
          <w:szCs w:val="24"/>
        </w:rPr>
        <w:t>Investment Selection Criteria</w:t>
      </w:r>
    </w:p>
    <w:p w:rsidR="003D406E" w:rsidRPr="00FA5BFE" w:rsidRDefault="003D406E" w:rsidP="00BA2F86">
      <w:pPr>
        <w:spacing w:after="0" w:line="480" w:lineRule="auto"/>
        <w:contextualSpacing/>
        <w:jc w:val="center"/>
        <w:rPr>
          <w:rFonts w:ascii="Times New Roman" w:hAnsi="Times New Roman" w:cs="Times New Roman"/>
          <w:b/>
          <w:i/>
          <w:sz w:val="24"/>
          <w:szCs w:val="24"/>
        </w:rPr>
      </w:pPr>
      <w:r w:rsidRPr="00FA5BFE">
        <w:rPr>
          <w:rFonts w:ascii="Times New Roman" w:hAnsi="Times New Roman" w:cs="Times New Roman"/>
          <w:b/>
          <w:i/>
          <w:sz w:val="24"/>
          <w:szCs w:val="24"/>
        </w:rPr>
        <w:t>Business Finance</w:t>
      </w:r>
    </w:p>
    <w:p w:rsidR="003D406E" w:rsidRPr="00FA5BFE" w:rsidRDefault="00C12997"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ab/>
      </w:r>
      <w:r w:rsidR="003D406E" w:rsidRPr="00FA5BFE">
        <w:rPr>
          <w:rFonts w:ascii="Times New Roman" w:hAnsi="Times New Roman" w:cs="Times New Roman"/>
          <w:sz w:val="24"/>
          <w:szCs w:val="24"/>
        </w:rPr>
        <w:t xml:space="preserve">Financial control is an essential concept in the selection of a viable project. The control entails the availability of finances and the cost of investment. In this case, the cost of building the superstore in location A and B, and that of acquiring Helibeb plc, a clothing retail store. Knowledge transfer is critical in new ventures to guide the decision-making process of business, including financial control measures (Picot-Coupey, Burt, and Cliquet, 2014). There are different financing mechanisms a firm can adopt to obtain the required funds to venture into an investment. </w:t>
      </w:r>
      <w:r w:rsidR="00461E8D" w:rsidRPr="00FA5BFE">
        <w:rPr>
          <w:rFonts w:ascii="Times New Roman" w:hAnsi="Times New Roman" w:cs="Times New Roman"/>
          <w:sz w:val="24"/>
          <w:szCs w:val="24"/>
        </w:rPr>
        <w:t>Brabham (2008), notes that crowds have the greatest power to solve most financial problems.</w:t>
      </w:r>
      <w:r w:rsidR="00F112E6" w:rsidRPr="00FA5BFE">
        <w:rPr>
          <w:rFonts w:ascii="Times New Roman" w:hAnsi="Times New Roman" w:cs="Times New Roman"/>
          <w:sz w:val="24"/>
          <w:szCs w:val="24"/>
        </w:rPr>
        <w:t xml:space="preserve"> </w:t>
      </w:r>
      <w:r w:rsidR="00461E8D" w:rsidRPr="00FA5BFE">
        <w:rPr>
          <w:rFonts w:ascii="Times New Roman" w:hAnsi="Times New Roman" w:cs="Times New Roman"/>
          <w:sz w:val="24"/>
          <w:szCs w:val="24"/>
        </w:rPr>
        <w:t xml:space="preserve">The most recent phenomena of crowdfunding explains the use of shares and bonds by firms to obtain funds (Rossi, 2014). </w:t>
      </w:r>
      <w:r w:rsidR="003D406E" w:rsidRPr="00FA5BFE">
        <w:rPr>
          <w:rFonts w:ascii="Times New Roman" w:hAnsi="Times New Roman" w:cs="Times New Roman"/>
          <w:sz w:val="24"/>
          <w:szCs w:val="24"/>
        </w:rPr>
        <w:t>Debt, equity, and the firm’s capital are the primary forms of financing available for Scylace Plc. The firm could issue shares in the market place and expect funds from the new shareholders to finance its respective projects. These shareholders, in return, expect the firm to act in their best interest and increase value for their investment</w:t>
      </w:r>
      <w:r w:rsidR="00854335" w:rsidRPr="00FA5BFE">
        <w:rPr>
          <w:rFonts w:ascii="Times New Roman" w:hAnsi="Times New Roman" w:cs="Times New Roman"/>
          <w:sz w:val="24"/>
          <w:szCs w:val="24"/>
        </w:rPr>
        <w:t xml:space="preserve"> (Ross, Westerfield &amp; Jordan, 2017)</w:t>
      </w:r>
      <w:r w:rsidR="003D406E" w:rsidRPr="00FA5BFE">
        <w:rPr>
          <w:rFonts w:ascii="Times New Roman" w:hAnsi="Times New Roman" w:cs="Times New Roman"/>
          <w:sz w:val="24"/>
          <w:szCs w:val="24"/>
        </w:rPr>
        <w:t>. Scylace already has issued shares before, which pay a dividend of 24.00 p per share and has its shares trading at a nominal rate of £1 per share. The firm is focused on increasing shareholder value evident through the expected constant growth in dividends at a rate of 3% as further illustrated in figure 1 below.</w:t>
      </w:r>
    </w:p>
    <w:p w:rsidR="003D406E" w:rsidRPr="00FA5BFE" w:rsidRDefault="003D406E" w:rsidP="00FA5BFE">
      <w:pPr>
        <w:spacing w:line="480" w:lineRule="auto"/>
        <w:rPr>
          <w:rFonts w:ascii="Times New Roman" w:hAnsi="Times New Roman" w:cs="Times New Roman"/>
          <w:sz w:val="24"/>
          <w:szCs w:val="24"/>
        </w:rPr>
      </w:pPr>
      <w:r w:rsidRPr="00FA5BFE">
        <w:rPr>
          <w:rFonts w:ascii="Times New Roman" w:hAnsi="Times New Roman" w:cs="Times New Roman"/>
          <w:sz w:val="24"/>
          <w:szCs w:val="24"/>
        </w:rPr>
        <w:t xml:space="preserve"> </w:t>
      </w:r>
      <w:bookmarkStart w:id="0" w:name="_MON_1628039703"/>
      <w:bookmarkEnd w:id="0"/>
      <w:r w:rsidR="00C12997" w:rsidRPr="00FA5BFE">
        <w:rPr>
          <w:rFonts w:ascii="Times New Roman" w:hAnsi="Times New Roman" w:cs="Times New Roman"/>
          <w:sz w:val="24"/>
          <w:szCs w:val="24"/>
        </w:rPr>
        <w:object w:dxaOrig="4064" w:dyaOrig="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5pt;height:45pt" o:ole="">
            <v:imagedata r:id="rId7" o:title=""/>
          </v:shape>
          <o:OLEObject Type="Embed" ProgID="Excel.Sheet.12" ShapeID="_x0000_i1025" DrawAspect="Content" ObjectID="_1628251184" r:id="rId8"/>
        </w:object>
      </w:r>
    </w:p>
    <w:p w:rsidR="003D406E" w:rsidRPr="00FA5BFE" w:rsidRDefault="003D406E"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Figure 1: Dividend Growth Rate</w:t>
      </w:r>
    </w:p>
    <w:p w:rsidR="00BA2F86" w:rsidRDefault="003D406E"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On the other hand, debt financing is also a common financing mechanism in which a firm borrows funds from banks or other avenues in the form of loans. Debt financing not only raises the required funds but also ensures that the shareholder’s shares in the firm are not reduced. This measure is in line with a firm’s role in ensuring that an investment decision is in the best interest of shareholders. The two debt financing mechanisms available for Scylace plc include the issuance of a 20-year bond and a 50-year bond. Corporate bonds are a recommendable way of raising funds as they are much controllable; as a result, secure. Upon issuing corporate bonds, Scylace plc is in a position to set fixed interest rates which are advantageous as they mitigate the risk of changes in interest rate attributed to the changing economic conditions. However, it is also crucial for Scylace to understand that raising funds through bonds also has its limitations. For instance, bond interest has to be paid regardless of losses; as a result, can reduce shareholder value since the interest payments are prioritized over any other obligation.</w:t>
      </w:r>
    </w:p>
    <w:p w:rsidR="003D406E" w:rsidRPr="00FA5BFE" w:rsidRDefault="003D406E"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The redemption yield of each bond is similar to the yield to maturity, which reflects the rate of return or the capital gain or loss expected. The redemption yield is actualized if the investors hold their respective bonds to maturity date when the investment amount and interest accrued is paid. Both bonds available for Scylace have a similar face value but appreciate differently due to the difference in nominal interest rates of 8% and 6.5% for the 20 year and 50-year bond respectively. The yield to redemption for the 20-year bond is 3.32% while the 50-year bond has a 4.51% yield to maturity. The 50-year bond has a higher yield market rate compared to the 20-year bond but has a low predicted market price. On that note, Scylace should obtain funds from the 20-year bond which trades at a predicted market price of £150 compared to the 20-year bond which trades at £120. The 20-year bond is recommendable due to affordability purposes that is it will raise a significant amount of funds; at the same time, has a low yield to maturity which reduces the firm’s expenses since it is less costly.</w:t>
      </w:r>
    </w:p>
    <w:p w:rsidR="003D406E" w:rsidRPr="00FA5BFE" w:rsidRDefault="003D406E" w:rsidP="00BA2F86">
      <w:pPr>
        <w:spacing w:after="0" w:line="480" w:lineRule="auto"/>
        <w:contextualSpacing/>
        <w:jc w:val="center"/>
        <w:rPr>
          <w:rFonts w:ascii="Times New Roman" w:hAnsi="Times New Roman" w:cs="Times New Roman"/>
          <w:b/>
          <w:i/>
          <w:sz w:val="24"/>
          <w:szCs w:val="24"/>
        </w:rPr>
      </w:pPr>
      <w:r w:rsidRPr="00FA5BFE">
        <w:rPr>
          <w:rFonts w:ascii="Times New Roman" w:hAnsi="Times New Roman" w:cs="Times New Roman"/>
          <w:b/>
          <w:i/>
          <w:sz w:val="24"/>
          <w:szCs w:val="24"/>
        </w:rPr>
        <w:t>Evaluation of the Project Investments</w:t>
      </w:r>
    </w:p>
    <w:p w:rsidR="00BA2F86" w:rsidRDefault="003D406E"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Scylace is focused on building two superstores in location A and Location B or either. The cost of building in the two locations are different, so is the annual profits expected to be generated from business activities within the premise. The viability of the most appropriate project will be based on the yearly profits made and the rate of return on investment. Building a store in location A is much costly compared to location B, which involve a rate of £40 and £25 million, respectively. The generation of profits is the main objective of any investment venture made by a business enterprise. A firm that incurs losses on investments made has a short life span.</w:t>
      </w:r>
    </w:p>
    <w:p w:rsidR="00BA2F86" w:rsidRDefault="005D79F2"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Financial analysis is conducted to determine the stability, profitability, and viability of the projects (Sultan, 2014). P</w:t>
      </w:r>
      <w:r w:rsidR="003D406E" w:rsidRPr="00FA5BFE">
        <w:rPr>
          <w:rFonts w:ascii="Times New Roman" w:hAnsi="Times New Roman" w:cs="Times New Roman"/>
          <w:sz w:val="24"/>
          <w:szCs w:val="24"/>
        </w:rPr>
        <w:t xml:space="preserve">rofitability levels are used to assess the viability of projects since high-profit projections mean the investments are rewardable. As a result, the investment is deemed viable for implementation. The profitability levels of organizations provide adequate information on the financial health of the firm and serve as an attractive tool for other business activities. For instance, investors observe the trends in profit generation to make investment decisions. On that note, highly profitable investments attract more investors, which </w:t>
      </w:r>
      <w:r w:rsidR="00BA2F86" w:rsidRPr="00FA5BFE">
        <w:rPr>
          <w:rFonts w:ascii="Times New Roman" w:hAnsi="Times New Roman" w:cs="Times New Roman"/>
          <w:sz w:val="24"/>
          <w:szCs w:val="24"/>
        </w:rPr>
        <w:t>imply</w:t>
      </w:r>
      <w:r w:rsidR="003D406E" w:rsidRPr="00FA5BFE">
        <w:rPr>
          <w:rFonts w:ascii="Times New Roman" w:hAnsi="Times New Roman" w:cs="Times New Roman"/>
          <w:sz w:val="24"/>
          <w:szCs w:val="24"/>
        </w:rPr>
        <w:t xml:space="preserve"> more finance to fund the cost of investment will be generated.</w:t>
      </w:r>
    </w:p>
    <w:p w:rsidR="00BA2F86" w:rsidRDefault="003D406E"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The annual profits expected to be generated by Scylace plc are calculated as the difference between the annual sales revenue and the yearly cost of sales, staff costs, depreciation, and other annual costs. The results for location A is £1 million, while location B is expected to generate a profit of £0.66 million. The initial investment is expected to generate higher profits compared to the latter. However, it is essential to note that the project for location A is much costly despite the generation of high profits. Regardless, based on profitability levels, Scylace should build a store in location A since it will generate higher returns.</w:t>
      </w:r>
    </w:p>
    <w:p w:rsidR="00BA2F86" w:rsidRDefault="00FC09F8"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 xml:space="preserve">Capital structures are a critical element that determine the success of firms as they give an overview of the liquidity levels (Abdul et al., 2013). </w:t>
      </w:r>
      <w:r w:rsidR="005764B8" w:rsidRPr="00FA5BFE">
        <w:rPr>
          <w:rFonts w:ascii="Times New Roman" w:hAnsi="Times New Roman" w:cs="Times New Roman"/>
          <w:sz w:val="24"/>
          <w:szCs w:val="24"/>
        </w:rPr>
        <w:t xml:space="preserve">The average investment cost is an additional factor that requires assessment to determine the viability of a project in a bid to determine the best combination between building one store and acquiring Helibeb plc or building superstores in both locations. </w:t>
      </w:r>
      <w:r w:rsidR="00D90ABC" w:rsidRPr="00FA5BFE">
        <w:rPr>
          <w:rFonts w:ascii="Times New Roman" w:hAnsi="Times New Roman" w:cs="Times New Roman"/>
          <w:sz w:val="24"/>
          <w:szCs w:val="24"/>
        </w:rPr>
        <w:t>The average investment facilitates the calculation of the return on investment</w:t>
      </w:r>
      <w:r w:rsidR="002C3B8D" w:rsidRPr="00FA5BFE">
        <w:rPr>
          <w:rFonts w:ascii="Times New Roman" w:hAnsi="Times New Roman" w:cs="Times New Roman"/>
          <w:sz w:val="24"/>
          <w:szCs w:val="24"/>
        </w:rPr>
        <w:t xml:space="preserve"> and is calculated as the average of cost of new superstore and the residual value</w:t>
      </w:r>
      <w:r w:rsidR="00D90ABC" w:rsidRPr="00FA5BFE">
        <w:rPr>
          <w:rFonts w:ascii="Times New Roman" w:hAnsi="Times New Roman" w:cs="Times New Roman"/>
          <w:sz w:val="24"/>
          <w:szCs w:val="24"/>
        </w:rPr>
        <w:t xml:space="preserve">. </w:t>
      </w:r>
      <w:r w:rsidR="002C3B8D" w:rsidRPr="00FA5BFE">
        <w:rPr>
          <w:rFonts w:ascii="Times New Roman" w:hAnsi="Times New Roman" w:cs="Times New Roman"/>
          <w:sz w:val="24"/>
          <w:szCs w:val="24"/>
        </w:rPr>
        <w:t>The residual value is the final value of investment</w:t>
      </w:r>
      <w:r w:rsidR="002B4B0A" w:rsidRPr="00FA5BFE">
        <w:rPr>
          <w:rFonts w:ascii="Times New Roman" w:hAnsi="Times New Roman" w:cs="Times New Roman"/>
          <w:sz w:val="24"/>
          <w:szCs w:val="24"/>
        </w:rPr>
        <w:t xml:space="preserve"> </w:t>
      </w:r>
      <w:r w:rsidR="002C3B8D" w:rsidRPr="00FA5BFE">
        <w:rPr>
          <w:rFonts w:ascii="Times New Roman" w:hAnsi="Times New Roman" w:cs="Times New Roman"/>
          <w:sz w:val="24"/>
          <w:szCs w:val="24"/>
        </w:rPr>
        <w:t>after</w:t>
      </w:r>
      <w:r w:rsidR="002B4B0A" w:rsidRPr="00FA5BFE">
        <w:rPr>
          <w:rFonts w:ascii="Times New Roman" w:hAnsi="Times New Roman" w:cs="Times New Roman"/>
          <w:sz w:val="24"/>
          <w:szCs w:val="24"/>
        </w:rPr>
        <w:t xml:space="preserve"> depreciation of the asset is deducted on a straight line basis. In the case of Scylace, the average investment for building a superstore in location A and B is </w:t>
      </w:r>
      <w:r w:rsidR="0046596C" w:rsidRPr="00FA5BFE">
        <w:rPr>
          <w:rFonts w:ascii="Times New Roman" w:hAnsi="Times New Roman" w:cs="Times New Roman"/>
          <w:sz w:val="24"/>
          <w:szCs w:val="24"/>
        </w:rPr>
        <w:t>25 and 14 respectively. The average investment cost is a</w:t>
      </w:r>
      <w:r w:rsidR="00D67E8D" w:rsidRPr="00FA5BFE">
        <w:rPr>
          <w:rFonts w:ascii="Times New Roman" w:hAnsi="Times New Roman" w:cs="Times New Roman"/>
          <w:sz w:val="24"/>
          <w:szCs w:val="24"/>
        </w:rPr>
        <w:t xml:space="preserve"> </w:t>
      </w:r>
      <w:r w:rsidR="0046596C" w:rsidRPr="00FA5BFE">
        <w:rPr>
          <w:rFonts w:ascii="Times New Roman" w:hAnsi="Times New Roman" w:cs="Times New Roman"/>
          <w:sz w:val="24"/>
          <w:szCs w:val="24"/>
        </w:rPr>
        <w:t>critical element of calculating</w:t>
      </w:r>
      <w:r w:rsidR="00D67E8D" w:rsidRPr="00FA5BFE">
        <w:rPr>
          <w:rFonts w:ascii="Times New Roman" w:hAnsi="Times New Roman" w:cs="Times New Roman"/>
          <w:sz w:val="24"/>
          <w:szCs w:val="24"/>
        </w:rPr>
        <w:t xml:space="preserve"> </w:t>
      </w:r>
      <w:r w:rsidR="0046596C" w:rsidRPr="00FA5BFE">
        <w:rPr>
          <w:rFonts w:ascii="Times New Roman" w:hAnsi="Times New Roman" w:cs="Times New Roman"/>
          <w:sz w:val="24"/>
          <w:szCs w:val="24"/>
        </w:rPr>
        <w:t>the accounting</w:t>
      </w:r>
      <w:r w:rsidR="00D67E8D" w:rsidRPr="00FA5BFE">
        <w:rPr>
          <w:rFonts w:ascii="Times New Roman" w:hAnsi="Times New Roman" w:cs="Times New Roman"/>
          <w:sz w:val="24"/>
          <w:szCs w:val="24"/>
        </w:rPr>
        <w:t xml:space="preserve"> </w:t>
      </w:r>
      <w:r w:rsidR="0046596C" w:rsidRPr="00FA5BFE">
        <w:rPr>
          <w:rFonts w:ascii="Times New Roman" w:hAnsi="Times New Roman" w:cs="Times New Roman"/>
          <w:sz w:val="24"/>
          <w:szCs w:val="24"/>
        </w:rPr>
        <w:t>rate of</w:t>
      </w:r>
      <w:r w:rsidR="00D67E8D" w:rsidRPr="00FA5BFE">
        <w:rPr>
          <w:rFonts w:ascii="Times New Roman" w:hAnsi="Times New Roman" w:cs="Times New Roman"/>
          <w:sz w:val="24"/>
          <w:szCs w:val="24"/>
        </w:rPr>
        <w:t xml:space="preserve"> return.</w:t>
      </w:r>
    </w:p>
    <w:p w:rsidR="00BA2F86" w:rsidRDefault="00933CB5"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A calculation of the return on investment is critical to affirm the best investment decision before an assessment of the viability of the acquisition project. On that note</w:t>
      </w:r>
      <w:r w:rsidR="00051B6C" w:rsidRPr="00FA5BFE">
        <w:rPr>
          <w:rFonts w:ascii="Times New Roman" w:hAnsi="Times New Roman" w:cs="Times New Roman"/>
          <w:sz w:val="24"/>
          <w:szCs w:val="24"/>
        </w:rPr>
        <w:t>,</w:t>
      </w:r>
      <w:r w:rsidRPr="00FA5BFE">
        <w:rPr>
          <w:rFonts w:ascii="Times New Roman" w:hAnsi="Times New Roman" w:cs="Times New Roman"/>
          <w:sz w:val="24"/>
          <w:szCs w:val="24"/>
        </w:rPr>
        <w:t xml:space="preserve"> the return on investment for building in both locations is calculated as the accounting rate of return</w:t>
      </w:r>
      <w:r w:rsidR="00334D84" w:rsidRPr="00FA5BFE">
        <w:rPr>
          <w:rFonts w:ascii="Times New Roman" w:hAnsi="Times New Roman" w:cs="Times New Roman"/>
          <w:sz w:val="24"/>
          <w:szCs w:val="24"/>
        </w:rPr>
        <w:t xml:space="preserve"> (ARR)</w:t>
      </w:r>
      <w:r w:rsidRPr="00FA5BFE">
        <w:rPr>
          <w:rFonts w:ascii="Times New Roman" w:hAnsi="Times New Roman" w:cs="Times New Roman"/>
          <w:sz w:val="24"/>
          <w:szCs w:val="24"/>
        </w:rPr>
        <w:t>.</w:t>
      </w:r>
      <w:r w:rsidR="00334D84" w:rsidRPr="00FA5BFE">
        <w:rPr>
          <w:rFonts w:ascii="Times New Roman" w:hAnsi="Times New Roman" w:cs="Times New Roman"/>
          <w:sz w:val="24"/>
          <w:szCs w:val="24"/>
        </w:rPr>
        <w:t>The ARR is used in capit</w:t>
      </w:r>
      <w:r w:rsidR="00B81020" w:rsidRPr="00FA5BFE">
        <w:rPr>
          <w:rFonts w:ascii="Times New Roman" w:hAnsi="Times New Roman" w:cs="Times New Roman"/>
          <w:sz w:val="24"/>
          <w:szCs w:val="24"/>
        </w:rPr>
        <w:t>al budgeting to determine the viability of</w:t>
      </w:r>
      <w:r w:rsidR="00893148" w:rsidRPr="00FA5BFE">
        <w:rPr>
          <w:rFonts w:ascii="Times New Roman" w:hAnsi="Times New Roman" w:cs="Times New Roman"/>
          <w:sz w:val="24"/>
          <w:szCs w:val="24"/>
        </w:rPr>
        <w:t xml:space="preserve"> </w:t>
      </w:r>
      <w:r w:rsidR="00B81020" w:rsidRPr="00FA5BFE">
        <w:rPr>
          <w:rFonts w:ascii="Times New Roman" w:hAnsi="Times New Roman" w:cs="Times New Roman"/>
          <w:sz w:val="24"/>
          <w:szCs w:val="24"/>
        </w:rPr>
        <w:t>a proposed capital</w:t>
      </w:r>
      <w:r w:rsidR="00893148" w:rsidRPr="00FA5BFE">
        <w:rPr>
          <w:rFonts w:ascii="Times New Roman" w:hAnsi="Times New Roman" w:cs="Times New Roman"/>
          <w:sz w:val="24"/>
          <w:szCs w:val="24"/>
        </w:rPr>
        <w:t xml:space="preserve"> </w:t>
      </w:r>
      <w:r w:rsidR="00B81020" w:rsidRPr="00FA5BFE">
        <w:rPr>
          <w:rFonts w:ascii="Times New Roman" w:hAnsi="Times New Roman" w:cs="Times New Roman"/>
          <w:sz w:val="24"/>
          <w:szCs w:val="24"/>
        </w:rPr>
        <w:t xml:space="preserve">investment. </w:t>
      </w:r>
      <w:r w:rsidR="002E2AE2" w:rsidRPr="00FA5BFE">
        <w:rPr>
          <w:rFonts w:ascii="Times New Roman" w:hAnsi="Times New Roman" w:cs="Times New Roman"/>
          <w:sz w:val="24"/>
          <w:szCs w:val="24"/>
        </w:rPr>
        <w:t xml:space="preserve">Additionally, </w:t>
      </w:r>
      <w:r w:rsidR="00A4692D" w:rsidRPr="00FA5BFE">
        <w:rPr>
          <w:rFonts w:ascii="Times New Roman" w:hAnsi="Times New Roman" w:cs="Times New Roman"/>
          <w:sz w:val="24"/>
          <w:szCs w:val="24"/>
        </w:rPr>
        <w:t xml:space="preserve">Gindu et al (2016), attest to the importance of risk management amidst the recent economic and financial crisis. The capital budgeting tool is also used to assess the risk levels of a firm to determine whether an investment is worth the implementation. </w:t>
      </w:r>
      <w:r w:rsidR="00A0267E" w:rsidRPr="00FA5BFE">
        <w:rPr>
          <w:rFonts w:ascii="Times New Roman" w:hAnsi="Times New Roman" w:cs="Times New Roman"/>
          <w:sz w:val="24"/>
          <w:szCs w:val="24"/>
        </w:rPr>
        <w:t xml:space="preserve">In this regard, earnings that are higher than the risks facing a firm are detectable and appropriate investment decisions are made. </w:t>
      </w:r>
      <w:r w:rsidR="00EB0AFF" w:rsidRPr="00FA5BFE">
        <w:rPr>
          <w:rFonts w:ascii="Times New Roman" w:hAnsi="Times New Roman" w:cs="Times New Roman"/>
          <w:sz w:val="24"/>
          <w:szCs w:val="24"/>
        </w:rPr>
        <w:t xml:space="preserve">In particular, such a risk assessment is made possible through an </w:t>
      </w:r>
      <w:r w:rsidR="00AA7616" w:rsidRPr="00FA5BFE">
        <w:rPr>
          <w:rFonts w:ascii="Times New Roman" w:hAnsi="Times New Roman" w:cs="Times New Roman"/>
          <w:sz w:val="24"/>
          <w:szCs w:val="24"/>
        </w:rPr>
        <w:t xml:space="preserve">evaluation of the percentage income </w:t>
      </w:r>
      <w:r w:rsidR="005A7FB7" w:rsidRPr="00FA5BFE">
        <w:rPr>
          <w:rFonts w:ascii="Times New Roman" w:hAnsi="Times New Roman" w:cs="Times New Roman"/>
          <w:sz w:val="24"/>
          <w:szCs w:val="24"/>
        </w:rPr>
        <w:t>generated by an</w:t>
      </w:r>
      <w:r w:rsidR="00D90ABC" w:rsidRPr="00FA5BFE">
        <w:rPr>
          <w:rFonts w:ascii="Times New Roman" w:hAnsi="Times New Roman" w:cs="Times New Roman"/>
          <w:sz w:val="24"/>
          <w:szCs w:val="24"/>
        </w:rPr>
        <w:t xml:space="preserve"> </w:t>
      </w:r>
      <w:r w:rsidR="005A7FB7" w:rsidRPr="00FA5BFE">
        <w:rPr>
          <w:rFonts w:ascii="Times New Roman" w:hAnsi="Times New Roman" w:cs="Times New Roman"/>
          <w:sz w:val="24"/>
          <w:szCs w:val="24"/>
        </w:rPr>
        <w:t xml:space="preserve">investment. </w:t>
      </w:r>
      <w:r w:rsidR="00EB0AFF" w:rsidRPr="00FA5BFE">
        <w:rPr>
          <w:rFonts w:ascii="Times New Roman" w:hAnsi="Times New Roman" w:cs="Times New Roman"/>
          <w:sz w:val="24"/>
          <w:szCs w:val="24"/>
        </w:rPr>
        <w:t xml:space="preserve"> </w:t>
      </w:r>
    </w:p>
    <w:p w:rsidR="00BA2F86" w:rsidRDefault="00933CB5"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Building a superstore in location A has a lower return on investment compared to a store in location B albeit the difference is minute. The accounting rate of return for building a superstore in location A is 4.50 while that of location B is 4.71.</w:t>
      </w:r>
      <w:r w:rsidR="00CF1379" w:rsidRPr="00FA5BFE">
        <w:rPr>
          <w:rFonts w:ascii="Times New Roman" w:hAnsi="Times New Roman" w:cs="Times New Roman"/>
          <w:sz w:val="24"/>
          <w:szCs w:val="24"/>
        </w:rPr>
        <w:t xml:space="preserve"> </w:t>
      </w:r>
      <w:r w:rsidRPr="00FA5BFE">
        <w:rPr>
          <w:rFonts w:ascii="Times New Roman" w:hAnsi="Times New Roman" w:cs="Times New Roman"/>
          <w:sz w:val="24"/>
          <w:szCs w:val="24"/>
        </w:rPr>
        <w:t>Regardless</w:t>
      </w:r>
      <w:r w:rsidR="00CF1379" w:rsidRPr="00FA5BFE">
        <w:rPr>
          <w:rFonts w:ascii="Times New Roman" w:hAnsi="Times New Roman" w:cs="Times New Roman"/>
          <w:sz w:val="24"/>
          <w:szCs w:val="24"/>
        </w:rPr>
        <w:t xml:space="preserve"> of the difference</w:t>
      </w:r>
      <w:r w:rsidRPr="00FA5BFE">
        <w:rPr>
          <w:rFonts w:ascii="Times New Roman" w:hAnsi="Times New Roman" w:cs="Times New Roman"/>
          <w:sz w:val="24"/>
          <w:szCs w:val="24"/>
        </w:rPr>
        <w:t>, both project investments will generate positive returns on investment as depicted by the accounting rate of return.</w:t>
      </w:r>
      <w:r w:rsidR="00D67E8D" w:rsidRPr="00FA5BFE">
        <w:rPr>
          <w:rFonts w:ascii="Times New Roman" w:hAnsi="Times New Roman" w:cs="Times New Roman"/>
          <w:sz w:val="24"/>
          <w:szCs w:val="24"/>
        </w:rPr>
        <w:t xml:space="preserve"> Therefore, building stores in both locations is a viable option </w:t>
      </w:r>
      <w:r w:rsidR="00921C46" w:rsidRPr="00FA5BFE">
        <w:rPr>
          <w:rFonts w:ascii="Times New Roman" w:hAnsi="Times New Roman" w:cs="Times New Roman"/>
          <w:sz w:val="24"/>
          <w:szCs w:val="24"/>
        </w:rPr>
        <w:t>since they will both generate positive revenues. However,</w:t>
      </w:r>
      <w:r w:rsidR="00E75673" w:rsidRPr="00FA5BFE">
        <w:rPr>
          <w:rFonts w:ascii="Times New Roman" w:hAnsi="Times New Roman" w:cs="Times New Roman"/>
          <w:sz w:val="24"/>
          <w:szCs w:val="24"/>
        </w:rPr>
        <w:t xml:space="preserve"> an assessment of the acquisition </w:t>
      </w:r>
      <w:r w:rsidR="006479DE" w:rsidRPr="00FA5BFE">
        <w:rPr>
          <w:rFonts w:ascii="Times New Roman" w:hAnsi="Times New Roman" w:cs="Times New Roman"/>
          <w:sz w:val="24"/>
          <w:szCs w:val="24"/>
        </w:rPr>
        <w:t xml:space="preserve">of Helibeb plc is critical in determining </w:t>
      </w:r>
      <w:r w:rsidR="00921C46" w:rsidRPr="00FA5BFE">
        <w:rPr>
          <w:rFonts w:ascii="Times New Roman" w:hAnsi="Times New Roman" w:cs="Times New Roman"/>
          <w:sz w:val="24"/>
          <w:szCs w:val="24"/>
        </w:rPr>
        <w:t>the optimal option between</w:t>
      </w:r>
      <w:r w:rsidR="004E6DF7" w:rsidRPr="00FA5BFE">
        <w:rPr>
          <w:rFonts w:ascii="Times New Roman" w:hAnsi="Times New Roman" w:cs="Times New Roman"/>
          <w:sz w:val="24"/>
          <w:szCs w:val="24"/>
        </w:rPr>
        <w:t xml:space="preserve"> </w:t>
      </w:r>
      <w:r w:rsidR="00921C46" w:rsidRPr="00FA5BFE">
        <w:rPr>
          <w:rFonts w:ascii="Times New Roman" w:hAnsi="Times New Roman" w:cs="Times New Roman"/>
          <w:sz w:val="24"/>
          <w:szCs w:val="24"/>
        </w:rPr>
        <w:t>building the two stores</w:t>
      </w:r>
      <w:r w:rsidR="004942FF" w:rsidRPr="00FA5BFE">
        <w:rPr>
          <w:rFonts w:ascii="Times New Roman" w:hAnsi="Times New Roman" w:cs="Times New Roman"/>
          <w:sz w:val="24"/>
          <w:szCs w:val="24"/>
        </w:rPr>
        <w:t xml:space="preserve"> and engaging in an acquisition, and building one</w:t>
      </w:r>
      <w:r w:rsidR="009220CA" w:rsidRPr="00FA5BFE">
        <w:rPr>
          <w:rFonts w:ascii="Times New Roman" w:hAnsi="Times New Roman" w:cs="Times New Roman"/>
          <w:sz w:val="24"/>
          <w:szCs w:val="24"/>
        </w:rPr>
        <w:t xml:space="preserve"> </w:t>
      </w:r>
      <w:r w:rsidR="004942FF" w:rsidRPr="00FA5BFE">
        <w:rPr>
          <w:rFonts w:ascii="Times New Roman" w:hAnsi="Times New Roman" w:cs="Times New Roman"/>
          <w:sz w:val="24"/>
          <w:szCs w:val="24"/>
        </w:rPr>
        <w:t>store</w:t>
      </w:r>
      <w:r w:rsidR="00E75673" w:rsidRPr="00FA5BFE">
        <w:rPr>
          <w:rFonts w:ascii="Times New Roman" w:hAnsi="Times New Roman" w:cs="Times New Roman"/>
          <w:sz w:val="24"/>
          <w:szCs w:val="24"/>
        </w:rPr>
        <w:t>.</w:t>
      </w:r>
      <w:r w:rsidR="00754B2F" w:rsidRPr="00FA5BFE">
        <w:rPr>
          <w:rFonts w:ascii="Times New Roman" w:hAnsi="Times New Roman" w:cs="Times New Roman"/>
          <w:sz w:val="24"/>
          <w:szCs w:val="24"/>
        </w:rPr>
        <w:t xml:space="preserve"> According to Peng (2014), takeovers including mergers and acquisitions have several advantages including increased demand and revenues. It is</w:t>
      </w:r>
      <w:r w:rsidR="000E169C" w:rsidRPr="00FA5BFE">
        <w:rPr>
          <w:rFonts w:ascii="Times New Roman" w:hAnsi="Times New Roman" w:cs="Times New Roman"/>
          <w:sz w:val="24"/>
          <w:szCs w:val="24"/>
        </w:rPr>
        <w:t xml:space="preserve"> on that note</w:t>
      </w:r>
      <w:r w:rsidR="00754B2F" w:rsidRPr="00FA5BFE">
        <w:rPr>
          <w:rFonts w:ascii="Times New Roman" w:hAnsi="Times New Roman" w:cs="Times New Roman"/>
          <w:sz w:val="24"/>
          <w:szCs w:val="24"/>
        </w:rPr>
        <w:t xml:space="preserve"> that Scylace plc will engage in a takeover of Helibeb plc to increase</w:t>
      </w:r>
      <w:r w:rsidR="000E169C" w:rsidRPr="00FA5BFE">
        <w:rPr>
          <w:rFonts w:ascii="Times New Roman" w:hAnsi="Times New Roman" w:cs="Times New Roman"/>
          <w:sz w:val="24"/>
          <w:szCs w:val="24"/>
        </w:rPr>
        <w:t xml:space="preserve"> </w:t>
      </w:r>
      <w:r w:rsidR="00754B2F" w:rsidRPr="00FA5BFE">
        <w:rPr>
          <w:rFonts w:ascii="Times New Roman" w:hAnsi="Times New Roman" w:cs="Times New Roman"/>
          <w:sz w:val="24"/>
          <w:szCs w:val="24"/>
        </w:rPr>
        <w:t>its sales and revenue.</w:t>
      </w:r>
    </w:p>
    <w:p w:rsidR="00BA2F86" w:rsidRDefault="000455E3"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 xml:space="preserve">Financial performance gives insights into the leadership role and performance with respect to resource utilization; as a result, contributing to the overall </w:t>
      </w:r>
      <w:r w:rsidR="005319CE" w:rsidRPr="00FA5BFE">
        <w:rPr>
          <w:rFonts w:ascii="Times New Roman" w:hAnsi="Times New Roman" w:cs="Times New Roman"/>
          <w:sz w:val="24"/>
          <w:szCs w:val="24"/>
        </w:rPr>
        <w:t>economic growth (</w:t>
      </w:r>
      <w:r w:rsidR="00370DBE" w:rsidRPr="00FA5BFE">
        <w:rPr>
          <w:rFonts w:ascii="Times New Roman" w:hAnsi="Times New Roman" w:cs="Times New Roman"/>
          <w:sz w:val="24"/>
          <w:szCs w:val="24"/>
        </w:rPr>
        <w:t>Almajali, Alamro, &amp; Al-Soub, 2012; Matar &amp; Eneizen, 2018</w:t>
      </w:r>
      <w:r w:rsidR="005319CE" w:rsidRPr="00FA5BFE">
        <w:rPr>
          <w:rFonts w:ascii="Times New Roman" w:hAnsi="Times New Roman" w:cs="Times New Roman"/>
          <w:sz w:val="24"/>
          <w:szCs w:val="24"/>
        </w:rPr>
        <w:t>).</w:t>
      </w:r>
      <w:r w:rsidR="00336091" w:rsidRPr="00FA5BFE">
        <w:rPr>
          <w:rFonts w:ascii="Times New Roman" w:hAnsi="Times New Roman" w:cs="Times New Roman"/>
          <w:sz w:val="24"/>
          <w:szCs w:val="24"/>
        </w:rPr>
        <w:t xml:space="preserve"> </w:t>
      </w:r>
      <w:r w:rsidR="006479DE" w:rsidRPr="00FA5BFE">
        <w:rPr>
          <w:rFonts w:ascii="Times New Roman" w:hAnsi="Times New Roman" w:cs="Times New Roman"/>
          <w:sz w:val="24"/>
          <w:szCs w:val="24"/>
        </w:rPr>
        <w:t>An evaluation of Helibeb’s financial statements for</w:t>
      </w:r>
      <w:r w:rsidR="0019373F" w:rsidRPr="00FA5BFE">
        <w:rPr>
          <w:rFonts w:ascii="Times New Roman" w:hAnsi="Times New Roman" w:cs="Times New Roman"/>
          <w:sz w:val="24"/>
          <w:szCs w:val="24"/>
        </w:rPr>
        <w:t xml:space="preserve"> 2016,</w:t>
      </w:r>
      <w:r w:rsidR="006479DE" w:rsidRPr="00FA5BFE">
        <w:rPr>
          <w:rFonts w:ascii="Times New Roman" w:hAnsi="Times New Roman" w:cs="Times New Roman"/>
          <w:sz w:val="24"/>
          <w:szCs w:val="24"/>
        </w:rPr>
        <w:t xml:space="preserve"> 2017 and 2018 provides detailed information regarding the firm’</w:t>
      </w:r>
      <w:r w:rsidR="00D41DA0" w:rsidRPr="00FA5BFE">
        <w:rPr>
          <w:rFonts w:ascii="Times New Roman" w:hAnsi="Times New Roman" w:cs="Times New Roman"/>
          <w:sz w:val="24"/>
          <w:szCs w:val="24"/>
        </w:rPr>
        <w:t>s financial health. Further assessment is made possible through the use of different financial ratios</w:t>
      </w:r>
      <w:r w:rsidR="00336091" w:rsidRPr="00FA5BFE">
        <w:rPr>
          <w:rFonts w:ascii="Times New Roman" w:hAnsi="Times New Roman" w:cs="Times New Roman"/>
          <w:sz w:val="24"/>
          <w:szCs w:val="24"/>
        </w:rPr>
        <w:t>, which are a time-tested method of business analysis (AlGhusin, 2015).</w:t>
      </w:r>
      <w:r w:rsidR="00D41DA0" w:rsidRPr="00FA5BFE">
        <w:rPr>
          <w:rFonts w:ascii="Times New Roman" w:hAnsi="Times New Roman" w:cs="Times New Roman"/>
          <w:sz w:val="24"/>
          <w:szCs w:val="24"/>
        </w:rPr>
        <w:t xml:space="preserve"> </w:t>
      </w:r>
      <w:r w:rsidR="00292060" w:rsidRPr="00FA5BFE">
        <w:rPr>
          <w:rFonts w:ascii="Times New Roman" w:hAnsi="Times New Roman" w:cs="Times New Roman"/>
          <w:sz w:val="24"/>
          <w:szCs w:val="24"/>
        </w:rPr>
        <w:t xml:space="preserve">Helibeb is a profitable firm based on the increase in retained profits from </w:t>
      </w:r>
      <w:r w:rsidR="0019373F" w:rsidRPr="00FA5BFE">
        <w:rPr>
          <w:rFonts w:ascii="Times New Roman" w:hAnsi="Times New Roman" w:cs="Times New Roman"/>
          <w:sz w:val="24"/>
          <w:szCs w:val="24"/>
        </w:rPr>
        <w:t>£</w:t>
      </w:r>
      <w:r w:rsidR="00292060" w:rsidRPr="00FA5BFE">
        <w:rPr>
          <w:rFonts w:ascii="Times New Roman" w:hAnsi="Times New Roman" w:cs="Times New Roman"/>
          <w:sz w:val="24"/>
          <w:szCs w:val="24"/>
        </w:rPr>
        <w:t>10 to</w:t>
      </w:r>
      <w:r w:rsidR="0019373F" w:rsidRPr="00FA5BFE">
        <w:rPr>
          <w:rFonts w:ascii="Times New Roman" w:hAnsi="Times New Roman" w:cs="Times New Roman"/>
          <w:sz w:val="24"/>
          <w:szCs w:val="24"/>
        </w:rPr>
        <w:t xml:space="preserve"> £11 million. On the other hand, the assets held by Scylace plc have increased over the three trading years making it possible to offset the increasing </w:t>
      </w:r>
      <w:r w:rsidR="003F5DBB" w:rsidRPr="00FA5BFE">
        <w:rPr>
          <w:rFonts w:ascii="Times New Roman" w:hAnsi="Times New Roman" w:cs="Times New Roman"/>
          <w:sz w:val="24"/>
          <w:szCs w:val="24"/>
        </w:rPr>
        <w:t>current liabilities accrued over the three years.</w:t>
      </w:r>
    </w:p>
    <w:p w:rsidR="00BA2F86" w:rsidRDefault="003F5DBB"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The viability of the acquisition project is calculated using the return on shareholders’</w:t>
      </w:r>
      <w:r w:rsidR="00446806" w:rsidRPr="00FA5BFE">
        <w:rPr>
          <w:rFonts w:ascii="Times New Roman" w:hAnsi="Times New Roman" w:cs="Times New Roman"/>
          <w:sz w:val="24"/>
          <w:szCs w:val="24"/>
        </w:rPr>
        <w:t xml:space="preserve"> equity that is obtained as a product of the earnings after tax and two divided by the summation of the opening and closing values of the shar</w:t>
      </w:r>
      <w:r w:rsidR="00117ABD" w:rsidRPr="00FA5BFE">
        <w:rPr>
          <w:rFonts w:ascii="Times New Roman" w:hAnsi="Times New Roman" w:cs="Times New Roman"/>
          <w:sz w:val="24"/>
          <w:szCs w:val="24"/>
        </w:rPr>
        <w:t>e</w:t>
      </w:r>
      <w:r w:rsidR="00446806" w:rsidRPr="00FA5BFE">
        <w:rPr>
          <w:rFonts w:ascii="Times New Roman" w:hAnsi="Times New Roman" w:cs="Times New Roman"/>
          <w:sz w:val="24"/>
          <w:szCs w:val="24"/>
        </w:rPr>
        <w:t>holders equity.</w:t>
      </w:r>
      <w:r w:rsidR="00117ABD" w:rsidRPr="00FA5BFE">
        <w:rPr>
          <w:rFonts w:ascii="Times New Roman" w:hAnsi="Times New Roman" w:cs="Times New Roman"/>
          <w:sz w:val="24"/>
          <w:szCs w:val="24"/>
        </w:rPr>
        <w:t xml:space="preserve"> </w:t>
      </w:r>
      <w:r w:rsidR="005D79F2" w:rsidRPr="00FA5BFE">
        <w:rPr>
          <w:rFonts w:ascii="Times New Roman" w:hAnsi="Times New Roman" w:cs="Times New Roman"/>
          <w:sz w:val="24"/>
          <w:szCs w:val="24"/>
        </w:rPr>
        <w:t>This ratio measure the rate at</w:t>
      </w:r>
      <w:r w:rsidR="005E696A" w:rsidRPr="00FA5BFE">
        <w:rPr>
          <w:rFonts w:ascii="Times New Roman" w:hAnsi="Times New Roman" w:cs="Times New Roman"/>
          <w:sz w:val="24"/>
          <w:szCs w:val="24"/>
        </w:rPr>
        <w:t xml:space="preserve"> </w:t>
      </w:r>
      <w:r w:rsidR="005D79F2" w:rsidRPr="00FA5BFE">
        <w:rPr>
          <w:rFonts w:ascii="Times New Roman" w:hAnsi="Times New Roman" w:cs="Times New Roman"/>
          <w:sz w:val="24"/>
          <w:szCs w:val="24"/>
        </w:rPr>
        <w:t>which a firm can generate value for shareholders for investments made</w:t>
      </w:r>
      <w:r w:rsidR="005E696A" w:rsidRPr="00FA5BFE">
        <w:rPr>
          <w:rFonts w:ascii="Times New Roman" w:hAnsi="Times New Roman" w:cs="Times New Roman"/>
          <w:sz w:val="24"/>
          <w:szCs w:val="24"/>
        </w:rPr>
        <w:t xml:space="preserve"> (Yadiati, 2017)</w:t>
      </w:r>
      <w:r w:rsidR="005D79F2" w:rsidRPr="00FA5BFE">
        <w:rPr>
          <w:rFonts w:ascii="Times New Roman" w:hAnsi="Times New Roman" w:cs="Times New Roman"/>
          <w:sz w:val="24"/>
          <w:szCs w:val="24"/>
        </w:rPr>
        <w:t xml:space="preserve">. </w:t>
      </w:r>
      <w:r w:rsidR="00117ABD" w:rsidRPr="00FA5BFE">
        <w:rPr>
          <w:rFonts w:ascii="Times New Roman" w:hAnsi="Times New Roman" w:cs="Times New Roman"/>
          <w:sz w:val="24"/>
          <w:szCs w:val="24"/>
        </w:rPr>
        <w:t>The return on the shareholders equity in 2017 increased from 14.80 to 15.19 in 2018. This implies that Helibeb is in a</w:t>
      </w:r>
      <w:r w:rsidR="006447D0" w:rsidRPr="00FA5BFE">
        <w:rPr>
          <w:rFonts w:ascii="Times New Roman" w:hAnsi="Times New Roman" w:cs="Times New Roman"/>
          <w:sz w:val="24"/>
          <w:szCs w:val="24"/>
        </w:rPr>
        <w:t xml:space="preserve"> position to </w:t>
      </w:r>
      <w:r w:rsidR="00A64EC3" w:rsidRPr="00FA5BFE">
        <w:rPr>
          <w:rFonts w:ascii="Times New Roman" w:hAnsi="Times New Roman" w:cs="Times New Roman"/>
          <w:sz w:val="24"/>
          <w:szCs w:val="24"/>
        </w:rPr>
        <w:t>generate value for the investments made</w:t>
      </w:r>
      <w:r w:rsidR="00F3479D" w:rsidRPr="00FA5BFE">
        <w:rPr>
          <w:rFonts w:ascii="Times New Roman" w:hAnsi="Times New Roman" w:cs="Times New Roman"/>
          <w:sz w:val="24"/>
          <w:szCs w:val="24"/>
        </w:rPr>
        <w:t xml:space="preserve"> by shareholders, a factor that contributes to the viability of acquiring the firm. </w:t>
      </w:r>
      <w:r w:rsidR="00091DAF" w:rsidRPr="00FA5BFE">
        <w:rPr>
          <w:rFonts w:ascii="Times New Roman" w:hAnsi="Times New Roman" w:cs="Times New Roman"/>
          <w:sz w:val="24"/>
          <w:szCs w:val="24"/>
        </w:rPr>
        <w:t xml:space="preserve">On a different note, an assessment of Helibeb’s turnover of capital employed </w:t>
      </w:r>
      <w:r w:rsidR="008A0665" w:rsidRPr="00FA5BFE">
        <w:rPr>
          <w:rFonts w:ascii="Times New Roman" w:hAnsi="Times New Roman" w:cs="Times New Roman"/>
          <w:sz w:val="24"/>
          <w:szCs w:val="24"/>
        </w:rPr>
        <w:t xml:space="preserve">presents the efficiency of the firm in the utilization of capital to generate sales. </w:t>
      </w:r>
      <w:r w:rsidR="00FF1B74" w:rsidRPr="00FA5BFE">
        <w:rPr>
          <w:rFonts w:ascii="Times New Roman" w:hAnsi="Times New Roman" w:cs="Times New Roman"/>
          <w:sz w:val="24"/>
          <w:szCs w:val="24"/>
        </w:rPr>
        <w:t>The turnover of capital employed was 3.60 but declined to 3.55 in 2018. The decrease was insignificant; as a result, no major inefficiencies were witnessed. Therefore, the ratio also provides a good basis for project implementation.</w:t>
      </w:r>
    </w:p>
    <w:p w:rsidR="00D862B4" w:rsidRPr="00FA5BFE" w:rsidRDefault="00D862B4"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 xml:space="preserve">The profitability rates of Helibeb plc could be obtained from </w:t>
      </w:r>
      <w:r w:rsidR="003A7495" w:rsidRPr="00FA5BFE">
        <w:rPr>
          <w:rFonts w:ascii="Times New Roman" w:hAnsi="Times New Roman" w:cs="Times New Roman"/>
          <w:sz w:val="24"/>
          <w:szCs w:val="24"/>
        </w:rPr>
        <w:t>the net</w:t>
      </w:r>
      <w:r w:rsidR="00EB26FD" w:rsidRPr="00FA5BFE">
        <w:rPr>
          <w:rFonts w:ascii="Times New Roman" w:hAnsi="Times New Roman" w:cs="Times New Roman"/>
          <w:sz w:val="24"/>
          <w:szCs w:val="24"/>
        </w:rPr>
        <w:t xml:space="preserve"> </w:t>
      </w:r>
      <w:r w:rsidR="003A7495" w:rsidRPr="00FA5BFE">
        <w:rPr>
          <w:rFonts w:ascii="Times New Roman" w:hAnsi="Times New Roman" w:cs="Times New Roman"/>
          <w:sz w:val="24"/>
          <w:szCs w:val="24"/>
        </w:rPr>
        <w:t>profit margin and the operating margin.</w:t>
      </w:r>
      <w:r w:rsidR="00EB26FD" w:rsidRPr="00FA5BFE">
        <w:rPr>
          <w:rFonts w:ascii="Times New Roman" w:hAnsi="Times New Roman" w:cs="Times New Roman"/>
          <w:sz w:val="24"/>
          <w:szCs w:val="24"/>
        </w:rPr>
        <w:t xml:space="preserve"> The net profit margin gives the firm’s overview of its profitability and liquidity state (Husna &amp; Desiyanti, 2016).</w:t>
      </w:r>
      <w:r w:rsidR="003A7495" w:rsidRPr="00FA5BFE">
        <w:rPr>
          <w:rFonts w:ascii="Times New Roman" w:hAnsi="Times New Roman" w:cs="Times New Roman"/>
          <w:sz w:val="24"/>
          <w:szCs w:val="24"/>
        </w:rPr>
        <w:t xml:space="preserve"> The net profit margin has increased from 2.34 to 2.60 which presents a significant rise that has been made possible through the increase in the retained earnings generated by the firm. </w:t>
      </w:r>
      <w:r w:rsidR="00755CCD" w:rsidRPr="00FA5BFE">
        <w:rPr>
          <w:rFonts w:ascii="Times New Roman" w:hAnsi="Times New Roman" w:cs="Times New Roman"/>
          <w:sz w:val="24"/>
          <w:szCs w:val="24"/>
        </w:rPr>
        <w:t xml:space="preserve">On the other hand, the operating margin is a crucial measure of the profitability levels of </w:t>
      </w:r>
      <w:r w:rsidR="00891923" w:rsidRPr="00FA5BFE">
        <w:rPr>
          <w:rFonts w:ascii="Times New Roman" w:hAnsi="Times New Roman" w:cs="Times New Roman"/>
          <w:sz w:val="24"/>
          <w:szCs w:val="24"/>
        </w:rPr>
        <w:t xml:space="preserve">Helibeb Plc as it gives insights into the financial status of the firm before interest, taxes and dividends are deducted. The operating margin has increased from 3.70 to 3.90, which is a positive indication of financial health. </w:t>
      </w:r>
      <w:r w:rsidR="006325AB" w:rsidRPr="00FA5BFE">
        <w:rPr>
          <w:rFonts w:ascii="Times New Roman" w:hAnsi="Times New Roman" w:cs="Times New Roman"/>
          <w:sz w:val="24"/>
          <w:szCs w:val="24"/>
        </w:rPr>
        <w:t xml:space="preserve">Lastly, the book gearing ratio reveals the firm’s leverage </w:t>
      </w:r>
      <w:r w:rsidR="0087791E" w:rsidRPr="00FA5BFE">
        <w:rPr>
          <w:rFonts w:ascii="Times New Roman" w:hAnsi="Times New Roman" w:cs="Times New Roman"/>
          <w:sz w:val="24"/>
          <w:szCs w:val="24"/>
        </w:rPr>
        <w:t xml:space="preserve">capacity based on the shareholders’ funds.  </w:t>
      </w:r>
    </w:p>
    <w:p w:rsidR="00A70348" w:rsidRPr="00FA5BFE" w:rsidRDefault="00A70348" w:rsidP="00BA2F86">
      <w:pPr>
        <w:spacing w:after="0" w:line="480" w:lineRule="auto"/>
        <w:contextualSpacing/>
        <w:jc w:val="center"/>
        <w:rPr>
          <w:rFonts w:ascii="Times New Roman" w:hAnsi="Times New Roman" w:cs="Times New Roman"/>
          <w:b/>
          <w:sz w:val="24"/>
          <w:szCs w:val="24"/>
        </w:rPr>
      </w:pPr>
      <w:r w:rsidRPr="00FA5BFE">
        <w:rPr>
          <w:rFonts w:ascii="Times New Roman" w:hAnsi="Times New Roman" w:cs="Times New Roman"/>
          <w:b/>
          <w:sz w:val="24"/>
          <w:szCs w:val="24"/>
        </w:rPr>
        <w:t>Conclusion</w:t>
      </w:r>
    </w:p>
    <w:p w:rsidR="00A70348" w:rsidRPr="00FA5BFE" w:rsidRDefault="00A70348"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 xml:space="preserve">The selection of viable projects is a critical phase of business growth as it determines the </w:t>
      </w:r>
      <w:r w:rsidR="005D6BCF" w:rsidRPr="00FA5BFE">
        <w:rPr>
          <w:rFonts w:ascii="Times New Roman" w:hAnsi="Times New Roman" w:cs="Times New Roman"/>
          <w:sz w:val="24"/>
          <w:szCs w:val="24"/>
        </w:rPr>
        <w:t xml:space="preserve">success rate of an organization. </w:t>
      </w:r>
      <w:r w:rsidR="001C4BAD" w:rsidRPr="00FA5BFE">
        <w:rPr>
          <w:rFonts w:ascii="Times New Roman" w:hAnsi="Times New Roman" w:cs="Times New Roman"/>
          <w:sz w:val="24"/>
          <w:szCs w:val="24"/>
        </w:rPr>
        <w:t xml:space="preserve">It is on that note, that an assessment was conducted to determine the project that is worth implementation by Scylace plc. </w:t>
      </w:r>
      <w:r w:rsidR="00290569" w:rsidRPr="00FA5BFE">
        <w:rPr>
          <w:rFonts w:ascii="Times New Roman" w:hAnsi="Times New Roman" w:cs="Times New Roman"/>
          <w:sz w:val="24"/>
          <w:szCs w:val="24"/>
        </w:rPr>
        <w:t xml:space="preserve"> The grocery retail chain has the option of investing in both location building or establishing one store in eithe</w:t>
      </w:r>
      <w:r w:rsidR="00524643" w:rsidRPr="00FA5BFE">
        <w:rPr>
          <w:rFonts w:ascii="Times New Roman" w:hAnsi="Times New Roman" w:cs="Times New Roman"/>
          <w:sz w:val="24"/>
          <w:szCs w:val="24"/>
        </w:rPr>
        <w:t xml:space="preserve">r location A or B and acquiring the profitable Helibeb clothing retail firm. </w:t>
      </w:r>
      <w:r w:rsidR="003C312D" w:rsidRPr="00FA5BFE">
        <w:rPr>
          <w:rFonts w:ascii="Times New Roman" w:hAnsi="Times New Roman" w:cs="Times New Roman"/>
          <w:sz w:val="24"/>
          <w:szCs w:val="24"/>
        </w:rPr>
        <w:t xml:space="preserve">On that note, an analysis has been conducted for Scylace to determine which project it will take up as a strategy of growth. </w:t>
      </w:r>
      <w:r w:rsidR="00195DFE" w:rsidRPr="00FA5BFE">
        <w:rPr>
          <w:rFonts w:ascii="Times New Roman" w:hAnsi="Times New Roman" w:cs="Times New Roman"/>
          <w:sz w:val="24"/>
          <w:szCs w:val="24"/>
        </w:rPr>
        <w:t>In particular, the financing mechanisms were analyzed to determine the most effective option o</w:t>
      </w:r>
      <w:r w:rsidR="00B0059C" w:rsidRPr="00FA5BFE">
        <w:rPr>
          <w:rFonts w:ascii="Times New Roman" w:hAnsi="Times New Roman" w:cs="Times New Roman"/>
          <w:sz w:val="24"/>
          <w:szCs w:val="24"/>
        </w:rPr>
        <w:t xml:space="preserve">f raising funds within the firm. Amongst the three options available including issuance of the 20 year or 50 year corporate bond. The bonds are the major form of </w:t>
      </w:r>
      <w:r w:rsidR="00E02ABF" w:rsidRPr="00FA5BFE">
        <w:rPr>
          <w:rFonts w:ascii="Times New Roman" w:hAnsi="Times New Roman" w:cs="Times New Roman"/>
          <w:sz w:val="24"/>
          <w:szCs w:val="24"/>
        </w:rPr>
        <w:t xml:space="preserve">debt financing while Scylace has the option of issuing new shares in the market to raise funds to cater for the investment cost. </w:t>
      </w:r>
      <w:r w:rsidR="00461C16" w:rsidRPr="00FA5BFE">
        <w:rPr>
          <w:rFonts w:ascii="Times New Roman" w:hAnsi="Times New Roman" w:cs="Times New Roman"/>
          <w:sz w:val="24"/>
          <w:szCs w:val="24"/>
        </w:rPr>
        <w:t>An evaluation of the best approach to raise funds leads to the analysis of the total cost incurred in the different projects available as a measure of determining the most viable project. Different factors are assessed including profitability levels and productivity in the evaluation sector.</w:t>
      </w:r>
    </w:p>
    <w:p w:rsidR="00C2087D" w:rsidRPr="00FA5BFE" w:rsidRDefault="00C2087D" w:rsidP="00BA2F86">
      <w:pPr>
        <w:spacing w:after="0" w:line="480" w:lineRule="auto"/>
        <w:contextualSpacing/>
        <w:jc w:val="center"/>
        <w:rPr>
          <w:rFonts w:ascii="Times New Roman" w:hAnsi="Times New Roman" w:cs="Times New Roman"/>
          <w:sz w:val="24"/>
          <w:szCs w:val="24"/>
        </w:rPr>
      </w:pPr>
      <w:r w:rsidRPr="00FA5BFE">
        <w:rPr>
          <w:rFonts w:ascii="Times New Roman" w:hAnsi="Times New Roman" w:cs="Times New Roman"/>
          <w:b/>
          <w:sz w:val="24"/>
          <w:szCs w:val="24"/>
        </w:rPr>
        <w:t>Recommendation</w:t>
      </w:r>
    </w:p>
    <w:p w:rsidR="000E169C" w:rsidRPr="00FA5BFE" w:rsidRDefault="00C2087D" w:rsidP="00BA2F86">
      <w:pPr>
        <w:spacing w:after="0" w:line="480" w:lineRule="auto"/>
        <w:ind w:firstLine="720"/>
        <w:contextualSpacing/>
        <w:rPr>
          <w:rFonts w:ascii="Times New Roman" w:hAnsi="Times New Roman" w:cs="Times New Roman"/>
          <w:sz w:val="24"/>
          <w:szCs w:val="24"/>
        </w:rPr>
      </w:pPr>
      <w:r w:rsidRPr="00FA5BFE">
        <w:rPr>
          <w:rFonts w:ascii="Times New Roman" w:hAnsi="Times New Roman" w:cs="Times New Roman"/>
          <w:sz w:val="24"/>
          <w:szCs w:val="24"/>
        </w:rPr>
        <w:t xml:space="preserve">It is recommendable that Scylace acquires Helibeb plc and build a superstore </w:t>
      </w:r>
      <w:r w:rsidR="00584455" w:rsidRPr="00FA5BFE">
        <w:rPr>
          <w:rFonts w:ascii="Times New Roman" w:hAnsi="Times New Roman" w:cs="Times New Roman"/>
          <w:sz w:val="24"/>
          <w:szCs w:val="24"/>
        </w:rPr>
        <w:t>in location A as a measure of maximizing on its profitability levels; as a result</w:t>
      </w:r>
      <w:r w:rsidR="00B37649" w:rsidRPr="00FA5BFE">
        <w:rPr>
          <w:rFonts w:ascii="Times New Roman" w:hAnsi="Times New Roman" w:cs="Times New Roman"/>
          <w:sz w:val="24"/>
          <w:szCs w:val="24"/>
        </w:rPr>
        <w:t>,</w:t>
      </w:r>
      <w:r w:rsidR="00584455" w:rsidRPr="00FA5BFE">
        <w:rPr>
          <w:rFonts w:ascii="Times New Roman" w:hAnsi="Times New Roman" w:cs="Times New Roman"/>
          <w:sz w:val="24"/>
          <w:szCs w:val="24"/>
        </w:rPr>
        <w:t xml:space="preserve"> realize an incr</w:t>
      </w:r>
      <w:r w:rsidR="00186FAB" w:rsidRPr="00FA5BFE">
        <w:rPr>
          <w:rFonts w:ascii="Times New Roman" w:hAnsi="Times New Roman" w:cs="Times New Roman"/>
          <w:sz w:val="24"/>
          <w:szCs w:val="24"/>
        </w:rPr>
        <w:t>ease in growth in the long-run.</w:t>
      </w:r>
      <w:r w:rsidR="00B37649" w:rsidRPr="00FA5BFE">
        <w:rPr>
          <w:rFonts w:ascii="Times New Roman" w:hAnsi="Times New Roman" w:cs="Times New Roman"/>
          <w:sz w:val="24"/>
          <w:szCs w:val="24"/>
        </w:rPr>
        <w:t xml:space="preserve"> This investment decision has been figured out after a detaile</w:t>
      </w:r>
      <w:r w:rsidR="00E007FD" w:rsidRPr="00FA5BFE">
        <w:rPr>
          <w:rFonts w:ascii="Times New Roman" w:hAnsi="Times New Roman" w:cs="Times New Roman"/>
          <w:sz w:val="24"/>
          <w:szCs w:val="24"/>
        </w:rPr>
        <w:t>d analysis of available data on the firm’s profitability levels.</w:t>
      </w:r>
      <w:r w:rsidR="00FE6CBF" w:rsidRPr="00FA5BFE">
        <w:rPr>
          <w:rFonts w:ascii="Times New Roman" w:hAnsi="Times New Roman" w:cs="Times New Roman"/>
          <w:sz w:val="24"/>
          <w:szCs w:val="24"/>
        </w:rPr>
        <w:t xml:space="preserve"> The project selected is the most viable based on the high profits expected to be generated. </w:t>
      </w:r>
      <w:r w:rsidR="0080724E" w:rsidRPr="00FA5BFE">
        <w:rPr>
          <w:rFonts w:ascii="Times New Roman" w:hAnsi="Times New Roman" w:cs="Times New Roman"/>
          <w:sz w:val="24"/>
          <w:szCs w:val="24"/>
        </w:rPr>
        <w:t xml:space="preserve">In particular, </w:t>
      </w:r>
      <w:r w:rsidR="003E3A23" w:rsidRPr="00FA5BFE">
        <w:rPr>
          <w:rFonts w:ascii="Times New Roman" w:hAnsi="Times New Roman" w:cs="Times New Roman"/>
          <w:sz w:val="24"/>
          <w:szCs w:val="24"/>
        </w:rPr>
        <w:t xml:space="preserve">building a superstore in location A will imply that the firm will make a profit of £1 million compared to the £0.66 million likely to be generated from building the stores in location B. </w:t>
      </w:r>
      <w:r w:rsidR="00B632FC" w:rsidRPr="00FA5BFE">
        <w:rPr>
          <w:rFonts w:ascii="Times New Roman" w:hAnsi="Times New Roman" w:cs="Times New Roman"/>
          <w:sz w:val="24"/>
          <w:szCs w:val="24"/>
        </w:rPr>
        <w:t xml:space="preserve">On the other hand, </w:t>
      </w:r>
      <w:r w:rsidR="00E2769C" w:rsidRPr="00FA5BFE">
        <w:rPr>
          <w:rFonts w:ascii="Times New Roman" w:hAnsi="Times New Roman" w:cs="Times New Roman"/>
          <w:sz w:val="24"/>
          <w:szCs w:val="24"/>
        </w:rPr>
        <w:t xml:space="preserve">Scylace will generate high profits of </w:t>
      </w:r>
      <w:r w:rsidR="00D243C7" w:rsidRPr="00FA5BFE">
        <w:rPr>
          <w:rFonts w:ascii="Times New Roman" w:hAnsi="Times New Roman" w:cs="Times New Roman"/>
          <w:sz w:val="24"/>
          <w:szCs w:val="24"/>
        </w:rPr>
        <w:t>£</w:t>
      </w:r>
      <w:r w:rsidR="00E2769C" w:rsidRPr="00FA5BFE">
        <w:rPr>
          <w:rFonts w:ascii="Times New Roman" w:hAnsi="Times New Roman" w:cs="Times New Roman"/>
          <w:sz w:val="24"/>
          <w:szCs w:val="24"/>
        </w:rPr>
        <w:t>10</w:t>
      </w:r>
      <w:r w:rsidR="0043682E" w:rsidRPr="00FA5BFE">
        <w:rPr>
          <w:rFonts w:ascii="Times New Roman" w:hAnsi="Times New Roman" w:cs="Times New Roman"/>
          <w:sz w:val="24"/>
          <w:szCs w:val="24"/>
        </w:rPr>
        <w:t xml:space="preserve"> </w:t>
      </w:r>
      <w:r w:rsidR="00E2769C" w:rsidRPr="00FA5BFE">
        <w:rPr>
          <w:rFonts w:ascii="Times New Roman" w:hAnsi="Times New Roman" w:cs="Times New Roman"/>
          <w:sz w:val="24"/>
          <w:szCs w:val="24"/>
        </w:rPr>
        <w:t xml:space="preserve">million and </w:t>
      </w:r>
      <w:r w:rsidR="0043682E" w:rsidRPr="00FA5BFE">
        <w:rPr>
          <w:rFonts w:ascii="Times New Roman" w:hAnsi="Times New Roman" w:cs="Times New Roman"/>
          <w:sz w:val="24"/>
          <w:szCs w:val="24"/>
        </w:rPr>
        <w:t xml:space="preserve">above through the takeover of Helibeb, a profitable clothing retail store. </w:t>
      </w:r>
      <w:r w:rsidR="00D243C7" w:rsidRPr="00FA5BFE">
        <w:rPr>
          <w:rFonts w:ascii="Times New Roman" w:hAnsi="Times New Roman" w:cs="Times New Roman"/>
          <w:sz w:val="24"/>
          <w:szCs w:val="24"/>
        </w:rPr>
        <w:t>The profits at Helibeb increased from £10 million to £11</w:t>
      </w:r>
      <w:r w:rsidR="009C22CB" w:rsidRPr="00FA5BFE">
        <w:rPr>
          <w:rFonts w:ascii="Times New Roman" w:hAnsi="Times New Roman" w:cs="Times New Roman"/>
          <w:sz w:val="24"/>
          <w:szCs w:val="24"/>
        </w:rPr>
        <w:t xml:space="preserve"> million, an indication that future projections are likely to increase.</w:t>
      </w:r>
      <w:r w:rsidR="008B5666" w:rsidRPr="00FA5BFE">
        <w:rPr>
          <w:rFonts w:ascii="Times New Roman" w:hAnsi="Times New Roman" w:cs="Times New Roman"/>
          <w:sz w:val="24"/>
          <w:szCs w:val="24"/>
        </w:rPr>
        <w:t xml:space="preserve"> The only alarming factor in the takeover bid is the</w:t>
      </w:r>
      <w:r w:rsidR="00AD4B06" w:rsidRPr="00FA5BFE">
        <w:rPr>
          <w:rFonts w:ascii="Times New Roman" w:hAnsi="Times New Roman" w:cs="Times New Roman"/>
          <w:sz w:val="24"/>
          <w:szCs w:val="24"/>
        </w:rPr>
        <w:t xml:space="preserve"> turnover capital employed </w:t>
      </w:r>
      <w:r w:rsidR="00A132CD" w:rsidRPr="00FA5BFE">
        <w:rPr>
          <w:rFonts w:ascii="Times New Roman" w:hAnsi="Times New Roman" w:cs="Times New Roman"/>
          <w:sz w:val="24"/>
          <w:szCs w:val="24"/>
        </w:rPr>
        <w:t>which has been declining through 2017-2018. Therefore, it is recommendable that the firm should stra</w:t>
      </w:r>
      <w:r w:rsidR="00BA2F86">
        <w:rPr>
          <w:rFonts w:ascii="Times New Roman" w:hAnsi="Times New Roman" w:cs="Times New Roman"/>
          <w:sz w:val="24"/>
          <w:szCs w:val="24"/>
        </w:rPr>
        <w:t xml:space="preserve">tegize more compelling measures </w:t>
      </w:r>
      <w:r w:rsidR="00A132CD" w:rsidRPr="00FA5BFE">
        <w:rPr>
          <w:rFonts w:ascii="Times New Roman" w:hAnsi="Times New Roman" w:cs="Times New Roman"/>
          <w:sz w:val="24"/>
          <w:szCs w:val="24"/>
        </w:rPr>
        <w:t xml:space="preserve">that would ensure the efficient use of capital to generate revenue. </w:t>
      </w:r>
    </w:p>
    <w:p w:rsidR="000E169C" w:rsidRPr="00FA5BFE" w:rsidRDefault="000E169C" w:rsidP="00FA5BFE">
      <w:pPr>
        <w:spacing w:line="480" w:lineRule="auto"/>
        <w:rPr>
          <w:rFonts w:ascii="Times New Roman" w:hAnsi="Times New Roman" w:cs="Times New Roman"/>
          <w:sz w:val="24"/>
          <w:szCs w:val="24"/>
        </w:rPr>
      </w:pPr>
      <w:r w:rsidRPr="00FA5BFE">
        <w:rPr>
          <w:rFonts w:ascii="Times New Roman" w:hAnsi="Times New Roman" w:cs="Times New Roman"/>
          <w:sz w:val="24"/>
          <w:szCs w:val="24"/>
        </w:rPr>
        <w:br w:type="page"/>
      </w:r>
    </w:p>
    <w:p w:rsidR="00C2087D" w:rsidRPr="00FA5BFE" w:rsidRDefault="000E169C" w:rsidP="00BA2F86">
      <w:pPr>
        <w:spacing w:after="0" w:line="480" w:lineRule="auto"/>
        <w:contextualSpacing/>
        <w:jc w:val="center"/>
        <w:rPr>
          <w:rFonts w:ascii="Times New Roman" w:hAnsi="Times New Roman" w:cs="Times New Roman"/>
          <w:sz w:val="24"/>
          <w:szCs w:val="24"/>
        </w:rPr>
      </w:pPr>
      <w:r w:rsidRPr="00FA5BFE">
        <w:rPr>
          <w:rFonts w:ascii="Times New Roman" w:hAnsi="Times New Roman" w:cs="Times New Roman"/>
          <w:sz w:val="24"/>
          <w:szCs w:val="24"/>
        </w:rPr>
        <w:t>Reference</w:t>
      </w:r>
      <w:r w:rsidR="00C128EB" w:rsidRPr="00FA5BFE">
        <w:rPr>
          <w:rFonts w:ascii="Times New Roman" w:hAnsi="Times New Roman" w:cs="Times New Roman"/>
          <w:sz w:val="24"/>
          <w:szCs w:val="24"/>
        </w:rPr>
        <w:t>s</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Abdul, A., Geetha, C., Mohidin, R., Karim, M., Sang, L., &amp; Ch’ng, Y. (2013). Capital Structure </w:t>
      </w:r>
      <w:r>
        <w:rPr>
          <w:rFonts w:ascii="Times New Roman" w:hAnsi="Times New Roman" w:cs="Times New Roman"/>
          <w:sz w:val="24"/>
          <w:szCs w:val="24"/>
        </w:rPr>
        <w:tab/>
      </w:r>
      <w:r w:rsidRPr="00FA5BFE">
        <w:rPr>
          <w:rFonts w:ascii="Times New Roman" w:hAnsi="Times New Roman" w:cs="Times New Roman"/>
          <w:sz w:val="24"/>
          <w:szCs w:val="24"/>
        </w:rPr>
        <w:t xml:space="preserve">Decisions: Evidence from Large Capitalized Companies in Malaysia. </w:t>
      </w:r>
      <w:r w:rsidRPr="00FA5BFE">
        <w:rPr>
          <w:rFonts w:ascii="Times New Roman" w:hAnsi="Times New Roman" w:cs="Times New Roman"/>
          <w:i/>
          <w:sz w:val="24"/>
          <w:szCs w:val="24"/>
        </w:rPr>
        <w:t xml:space="preserve">Interdisciplinary </w:t>
      </w:r>
      <w:r>
        <w:rPr>
          <w:rFonts w:ascii="Times New Roman" w:hAnsi="Times New Roman" w:cs="Times New Roman"/>
          <w:i/>
          <w:sz w:val="24"/>
          <w:szCs w:val="24"/>
        </w:rPr>
        <w:tab/>
      </w:r>
      <w:r w:rsidRPr="00FA5BFE">
        <w:rPr>
          <w:rFonts w:ascii="Times New Roman" w:hAnsi="Times New Roman" w:cs="Times New Roman"/>
          <w:i/>
          <w:sz w:val="24"/>
          <w:szCs w:val="24"/>
        </w:rPr>
        <w:t xml:space="preserve">Journal of Contemporary Research in Business, </w:t>
      </w:r>
      <w:r w:rsidRPr="00FA5BFE">
        <w:rPr>
          <w:rFonts w:ascii="Times New Roman" w:hAnsi="Times New Roman" w:cs="Times New Roman"/>
          <w:sz w:val="24"/>
          <w:szCs w:val="24"/>
        </w:rPr>
        <w:t>5(5), 30-49.</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AlGhusin, N. (2015). The Impact of Financial Leverage, Growth, and Size on Profitability of </w:t>
      </w:r>
      <w:r>
        <w:rPr>
          <w:rFonts w:ascii="Times New Roman" w:hAnsi="Times New Roman" w:cs="Times New Roman"/>
          <w:sz w:val="24"/>
          <w:szCs w:val="24"/>
        </w:rPr>
        <w:tab/>
      </w:r>
      <w:r w:rsidRPr="00FA5BFE">
        <w:rPr>
          <w:rFonts w:ascii="Times New Roman" w:hAnsi="Times New Roman" w:cs="Times New Roman"/>
          <w:sz w:val="24"/>
          <w:szCs w:val="24"/>
        </w:rPr>
        <w:t xml:space="preserve">Jordanian Industrial Listed Companies. </w:t>
      </w:r>
      <w:r w:rsidRPr="00FA5BFE">
        <w:rPr>
          <w:rFonts w:ascii="Times New Roman" w:hAnsi="Times New Roman" w:cs="Times New Roman"/>
          <w:i/>
          <w:sz w:val="24"/>
          <w:szCs w:val="24"/>
        </w:rPr>
        <w:t>Research Journal of Finance and Accounting.</w:t>
      </w:r>
      <w:r w:rsidRPr="00FA5BFE">
        <w:rPr>
          <w:rFonts w:ascii="Times New Roman" w:hAnsi="Times New Roman" w:cs="Times New Roman"/>
          <w:sz w:val="24"/>
          <w:szCs w:val="24"/>
        </w:rPr>
        <w:t xml:space="preserve"> </w:t>
      </w:r>
      <w:r>
        <w:rPr>
          <w:rFonts w:ascii="Times New Roman" w:hAnsi="Times New Roman" w:cs="Times New Roman"/>
          <w:sz w:val="24"/>
          <w:szCs w:val="24"/>
        </w:rPr>
        <w:tab/>
      </w:r>
      <w:r w:rsidRPr="00FA5BFE">
        <w:rPr>
          <w:rFonts w:ascii="Times New Roman" w:hAnsi="Times New Roman" w:cs="Times New Roman"/>
          <w:sz w:val="24"/>
          <w:szCs w:val="24"/>
        </w:rPr>
        <w:t>6(16), 86-93.</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Almajali, Y.,  Alamro, A., &amp; Al-Soub, Z. (2012). Factors affecting the financial performance of </w:t>
      </w:r>
      <w:r>
        <w:rPr>
          <w:rFonts w:ascii="Times New Roman" w:hAnsi="Times New Roman" w:cs="Times New Roman"/>
          <w:sz w:val="24"/>
          <w:szCs w:val="24"/>
        </w:rPr>
        <w:tab/>
      </w:r>
      <w:r w:rsidRPr="00FA5BFE">
        <w:rPr>
          <w:rFonts w:ascii="Times New Roman" w:hAnsi="Times New Roman" w:cs="Times New Roman"/>
          <w:sz w:val="24"/>
          <w:szCs w:val="24"/>
        </w:rPr>
        <w:t xml:space="preserve">Jordanian insurance companies listed at Amman stock exchange. </w:t>
      </w:r>
      <w:r w:rsidRPr="00FA5BFE">
        <w:rPr>
          <w:rFonts w:ascii="Times New Roman" w:hAnsi="Times New Roman" w:cs="Times New Roman"/>
          <w:i/>
          <w:sz w:val="24"/>
          <w:szCs w:val="24"/>
        </w:rPr>
        <w:t xml:space="preserve">Journal of Management </w:t>
      </w:r>
      <w:r>
        <w:rPr>
          <w:rFonts w:ascii="Times New Roman" w:hAnsi="Times New Roman" w:cs="Times New Roman"/>
          <w:i/>
          <w:sz w:val="24"/>
          <w:szCs w:val="24"/>
        </w:rPr>
        <w:tab/>
      </w:r>
      <w:r w:rsidRPr="00FA5BFE">
        <w:rPr>
          <w:rFonts w:ascii="Times New Roman" w:hAnsi="Times New Roman" w:cs="Times New Roman"/>
          <w:i/>
          <w:sz w:val="24"/>
          <w:szCs w:val="24"/>
        </w:rPr>
        <w:t>Research.</w:t>
      </w:r>
      <w:r w:rsidRPr="00FA5BFE">
        <w:rPr>
          <w:rFonts w:ascii="Times New Roman" w:hAnsi="Times New Roman" w:cs="Times New Roman"/>
          <w:sz w:val="24"/>
          <w:szCs w:val="24"/>
        </w:rPr>
        <w:t xml:space="preserve"> 4(2):266.</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Brabham, C. (2008). Crowdsourcing as a Model for Problem Solving: An Introduction and </w:t>
      </w:r>
      <w:r>
        <w:rPr>
          <w:rFonts w:ascii="Times New Roman" w:hAnsi="Times New Roman" w:cs="Times New Roman"/>
          <w:sz w:val="24"/>
          <w:szCs w:val="24"/>
        </w:rPr>
        <w:tab/>
      </w:r>
      <w:r w:rsidRPr="00FA5BFE">
        <w:rPr>
          <w:rFonts w:ascii="Times New Roman" w:hAnsi="Times New Roman" w:cs="Times New Roman"/>
          <w:sz w:val="24"/>
          <w:szCs w:val="24"/>
        </w:rPr>
        <w:t xml:space="preserve">Cases. Convergence: The International Journal of Research into New Media </w:t>
      </w:r>
      <w:r>
        <w:rPr>
          <w:rFonts w:ascii="Times New Roman" w:hAnsi="Times New Roman" w:cs="Times New Roman"/>
          <w:sz w:val="24"/>
          <w:szCs w:val="24"/>
        </w:rPr>
        <w:tab/>
      </w:r>
      <w:r w:rsidRPr="00FA5BFE">
        <w:rPr>
          <w:rFonts w:ascii="Times New Roman" w:hAnsi="Times New Roman" w:cs="Times New Roman"/>
          <w:sz w:val="24"/>
          <w:szCs w:val="24"/>
        </w:rPr>
        <w:t>Technologies, 14(1). 75-90.</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Gindu, E., Chiran, A., Drobota, B., &amp; Jitareanu, A. (2016). Risk Management Methodology of </w:t>
      </w:r>
      <w:r>
        <w:rPr>
          <w:rFonts w:ascii="Times New Roman" w:hAnsi="Times New Roman" w:cs="Times New Roman"/>
          <w:sz w:val="24"/>
          <w:szCs w:val="24"/>
        </w:rPr>
        <w:tab/>
      </w:r>
      <w:r w:rsidRPr="00FA5BFE">
        <w:rPr>
          <w:rFonts w:ascii="Times New Roman" w:hAnsi="Times New Roman" w:cs="Times New Roman"/>
          <w:sz w:val="24"/>
          <w:szCs w:val="24"/>
        </w:rPr>
        <w:t xml:space="preserve">Investment Projects with Environmental Impact. </w:t>
      </w:r>
      <w:r w:rsidRPr="00FA5BFE">
        <w:rPr>
          <w:rFonts w:ascii="Times New Roman" w:hAnsi="Times New Roman" w:cs="Times New Roman"/>
          <w:i/>
          <w:sz w:val="24"/>
          <w:szCs w:val="24"/>
        </w:rPr>
        <w:t xml:space="preserve">Journal of Engineering Studies and </w:t>
      </w:r>
      <w:r>
        <w:rPr>
          <w:rFonts w:ascii="Times New Roman" w:hAnsi="Times New Roman" w:cs="Times New Roman"/>
          <w:i/>
          <w:sz w:val="24"/>
          <w:szCs w:val="24"/>
        </w:rPr>
        <w:tab/>
      </w:r>
      <w:r w:rsidRPr="00FA5BFE">
        <w:rPr>
          <w:rFonts w:ascii="Times New Roman" w:hAnsi="Times New Roman" w:cs="Times New Roman"/>
          <w:i/>
          <w:sz w:val="24"/>
          <w:szCs w:val="24"/>
        </w:rPr>
        <w:t xml:space="preserve">Research. </w:t>
      </w:r>
      <w:r w:rsidRPr="00FA5BFE">
        <w:rPr>
          <w:rFonts w:ascii="Times New Roman" w:hAnsi="Times New Roman" w:cs="Times New Roman"/>
          <w:sz w:val="24"/>
          <w:szCs w:val="24"/>
        </w:rPr>
        <w:t>21(1), 30-35.</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Husna, N., &amp; Desiyanti, R. (2016). The Analysis of Financial Performance on Net Profit Margin </w:t>
      </w:r>
      <w:r>
        <w:rPr>
          <w:rFonts w:ascii="Times New Roman" w:hAnsi="Times New Roman" w:cs="Times New Roman"/>
          <w:sz w:val="24"/>
          <w:szCs w:val="24"/>
        </w:rPr>
        <w:tab/>
      </w:r>
      <w:r w:rsidRPr="00FA5BFE">
        <w:rPr>
          <w:rFonts w:ascii="Times New Roman" w:hAnsi="Times New Roman" w:cs="Times New Roman"/>
          <w:sz w:val="24"/>
          <w:szCs w:val="24"/>
        </w:rPr>
        <w:t>at the Coal Company.</w:t>
      </w:r>
      <w:r w:rsidRPr="00FA5BFE">
        <w:rPr>
          <w:rFonts w:ascii="Times New Roman" w:hAnsi="Times New Roman" w:cs="Times New Roman"/>
          <w:i/>
          <w:sz w:val="24"/>
          <w:szCs w:val="24"/>
        </w:rPr>
        <w:t xml:space="preserve"> International Journal of Management and Applied Science. </w:t>
      </w:r>
      <w:r w:rsidRPr="00FA5BFE">
        <w:rPr>
          <w:rFonts w:ascii="Times New Roman" w:hAnsi="Times New Roman" w:cs="Times New Roman"/>
          <w:sz w:val="24"/>
          <w:szCs w:val="24"/>
        </w:rPr>
        <w:t xml:space="preserve">2(4), </w:t>
      </w:r>
      <w:r>
        <w:rPr>
          <w:rFonts w:ascii="Times New Roman" w:hAnsi="Times New Roman" w:cs="Times New Roman"/>
          <w:sz w:val="24"/>
          <w:szCs w:val="24"/>
        </w:rPr>
        <w:tab/>
      </w:r>
      <w:r w:rsidRPr="00FA5BFE">
        <w:rPr>
          <w:rFonts w:ascii="Times New Roman" w:hAnsi="Times New Roman" w:cs="Times New Roman"/>
          <w:sz w:val="24"/>
          <w:szCs w:val="24"/>
        </w:rPr>
        <w:t>105-108.</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Lukicheva, L., &amp; Egorychev, D. 2016. </w:t>
      </w:r>
      <w:r w:rsidRPr="00FA5BFE">
        <w:rPr>
          <w:rFonts w:ascii="Times New Roman" w:hAnsi="Times New Roman" w:cs="Times New Roman"/>
          <w:i/>
          <w:sz w:val="24"/>
          <w:szCs w:val="24"/>
        </w:rPr>
        <w:t>Decision Making Process in Management</w:t>
      </w:r>
      <w:r w:rsidRPr="00FA5BFE">
        <w:rPr>
          <w:rFonts w:ascii="Times New Roman" w:hAnsi="Times New Roman" w:cs="Times New Roman"/>
          <w:sz w:val="24"/>
          <w:szCs w:val="24"/>
        </w:rPr>
        <w:t xml:space="preserve">. Moscow: </w:t>
      </w:r>
      <w:r>
        <w:rPr>
          <w:rFonts w:ascii="Times New Roman" w:hAnsi="Times New Roman" w:cs="Times New Roman"/>
          <w:sz w:val="24"/>
          <w:szCs w:val="24"/>
        </w:rPr>
        <w:tab/>
      </w:r>
      <w:r w:rsidRPr="00FA5BFE">
        <w:rPr>
          <w:rFonts w:ascii="Times New Roman" w:hAnsi="Times New Roman" w:cs="Times New Roman"/>
          <w:sz w:val="24"/>
          <w:szCs w:val="24"/>
        </w:rPr>
        <w:t>Omega-M.</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Mahmood, W, Affandi, S., Baharuddin, S., Mohamad, Z., &amp; Shamsudin, N. (2011). Capital </w:t>
      </w:r>
      <w:r>
        <w:rPr>
          <w:rFonts w:ascii="Times New Roman" w:hAnsi="Times New Roman" w:cs="Times New Roman"/>
          <w:sz w:val="24"/>
          <w:szCs w:val="24"/>
        </w:rPr>
        <w:tab/>
      </w:r>
      <w:r w:rsidRPr="00FA5BFE">
        <w:rPr>
          <w:rFonts w:ascii="Times New Roman" w:hAnsi="Times New Roman" w:cs="Times New Roman"/>
          <w:sz w:val="24"/>
          <w:szCs w:val="24"/>
        </w:rPr>
        <w:t>Structure of Property Companies in Malaysia.</w:t>
      </w:r>
      <w:r w:rsidRPr="00FA5BFE">
        <w:rPr>
          <w:rFonts w:ascii="Times New Roman" w:hAnsi="Times New Roman" w:cs="Times New Roman"/>
          <w:i/>
          <w:sz w:val="24"/>
          <w:szCs w:val="24"/>
        </w:rPr>
        <w:t xml:space="preserve"> International Research Journal of Finance </w:t>
      </w:r>
      <w:r>
        <w:rPr>
          <w:rFonts w:ascii="Times New Roman" w:hAnsi="Times New Roman" w:cs="Times New Roman"/>
          <w:i/>
          <w:sz w:val="24"/>
          <w:szCs w:val="24"/>
        </w:rPr>
        <w:tab/>
      </w:r>
      <w:r w:rsidRPr="00FA5BFE">
        <w:rPr>
          <w:rFonts w:ascii="Times New Roman" w:hAnsi="Times New Roman" w:cs="Times New Roman"/>
          <w:i/>
          <w:sz w:val="24"/>
          <w:szCs w:val="24"/>
        </w:rPr>
        <w:t>and Economics.</w:t>
      </w:r>
      <w:r w:rsidRPr="00FA5BFE">
        <w:rPr>
          <w:rFonts w:ascii="Times New Roman" w:hAnsi="Times New Roman" w:cs="Times New Roman"/>
          <w:sz w:val="24"/>
          <w:szCs w:val="24"/>
        </w:rPr>
        <w:t xml:space="preserve"> 74, 198-206.</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Malik, F., Anuar, M., Khan, S., &amp; Khan, F. (2014). Mergers and Acquisitions: A Conceptual </w:t>
      </w:r>
      <w:r>
        <w:rPr>
          <w:rFonts w:ascii="Times New Roman" w:hAnsi="Times New Roman" w:cs="Times New Roman"/>
          <w:sz w:val="24"/>
          <w:szCs w:val="24"/>
        </w:rPr>
        <w:tab/>
      </w:r>
      <w:r w:rsidRPr="00FA5BFE">
        <w:rPr>
          <w:rFonts w:ascii="Times New Roman" w:hAnsi="Times New Roman" w:cs="Times New Roman"/>
          <w:sz w:val="24"/>
          <w:szCs w:val="24"/>
        </w:rPr>
        <w:t xml:space="preserve">Review. </w:t>
      </w:r>
      <w:r w:rsidRPr="00FA5BFE">
        <w:rPr>
          <w:rFonts w:ascii="Times New Roman" w:hAnsi="Times New Roman" w:cs="Times New Roman"/>
          <w:i/>
          <w:sz w:val="24"/>
          <w:szCs w:val="24"/>
        </w:rPr>
        <w:t>International Journal of Accounting and Financial Reporting.</w:t>
      </w:r>
      <w:r w:rsidRPr="00FA5BFE">
        <w:rPr>
          <w:rFonts w:ascii="Times New Roman" w:hAnsi="Times New Roman" w:cs="Times New Roman"/>
          <w:sz w:val="24"/>
          <w:szCs w:val="24"/>
        </w:rPr>
        <w:t xml:space="preserve"> 4(2), 520-524.</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Matar, A.,&amp; Eneizan, B. (2018). Determinants of Financial Performance in the Industrial Firms: </w:t>
      </w:r>
      <w:r>
        <w:rPr>
          <w:rFonts w:ascii="Times New Roman" w:hAnsi="Times New Roman" w:cs="Times New Roman"/>
          <w:sz w:val="24"/>
          <w:szCs w:val="24"/>
        </w:rPr>
        <w:tab/>
      </w:r>
      <w:r w:rsidRPr="00FA5BFE">
        <w:rPr>
          <w:rFonts w:ascii="Times New Roman" w:hAnsi="Times New Roman" w:cs="Times New Roman"/>
          <w:sz w:val="24"/>
          <w:szCs w:val="24"/>
        </w:rPr>
        <w:t xml:space="preserve">Evidence from Jordan. </w:t>
      </w:r>
      <w:r w:rsidRPr="00FA5BFE">
        <w:rPr>
          <w:rFonts w:ascii="Times New Roman" w:hAnsi="Times New Roman" w:cs="Times New Roman"/>
          <w:i/>
          <w:sz w:val="24"/>
          <w:szCs w:val="24"/>
        </w:rPr>
        <w:t>Asian Journal of Agricultural Extension, Economics &amp; Sociology.</w:t>
      </w:r>
      <w:r w:rsidRPr="00FA5BFE">
        <w:rPr>
          <w:rFonts w:ascii="Times New Roman" w:hAnsi="Times New Roman" w:cs="Times New Roman"/>
          <w:sz w:val="24"/>
          <w:szCs w:val="24"/>
        </w:rPr>
        <w:t xml:space="preserve"> </w:t>
      </w:r>
      <w:r>
        <w:rPr>
          <w:rFonts w:ascii="Times New Roman" w:hAnsi="Times New Roman" w:cs="Times New Roman"/>
          <w:sz w:val="24"/>
          <w:szCs w:val="24"/>
        </w:rPr>
        <w:tab/>
      </w:r>
      <w:r w:rsidRPr="00FA5BFE">
        <w:rPr>
          <w:rFonts w:ascii="Times New Roman" w:hAnsi="Times New Roman" w:cs="Times New Roman"/>
          <w:sz w:val="24"/>
          <w:szCs w:val="24"/>
        </w:rPr>
        <w:t>22(1), 1-10.</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Pachulia, O. (2018). Impact of Mergers and Acquisitions on Corporate Performance: A Case </w:t>
      </w:r>
      <w:r>
        <w:rPr>
          <w:rFonts w:ascii="Times New Roman" w:hAnsi="Times New Roman" w:cs="Times New Roman"/>
          <w:sz w:val="24"/>
          <w:szCs w:val="24"/>
        </w:rPr>
        <w:tab/>
      </w:r>
      <w:r w:rsidRPr="00FA5BFE">
        <w:rPr>
          <w:rFonts w:ascii="Times New Roman" w:hAnsi="Times New Roman" w:cs="Times New Roman"/>
          <w:sz w:val="24"/>
          <w:szCs w:val="24"/>
        </w:rPr>
        <w:t>Study of Silknet Company.</w:t>
      </w:r>
      <w:r w:rsidRPr="00FA5BFE">
        <w:rPr>
          <w:rFonts w:ascii="Times New Roman" w:hAnsi="Times New Roman" w:cs="Times New Roman"/>
          <w:i/>
          <w:sz w:val="24"/>
          <w:szCs w:val="24"/>
        </w:rPr>
        <w:t xml:space="preserve"> Ecoforum. </w:t>
      </w:r>
      <w:r w:rsidRPr="00FA5BFE">
        <w:rPr>
          <w:rFonts w:ascii="Times New Roman" w:hAnsi="Times New Roman" w:cs="Times New Roman"/>
          <w:sz w:val="24"/>
          <w:szCs w:val="24"/>
        </w:rPr>
        <w:t>7(3), 1-10.</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Peng, M. W. (2014). Global business. Mason, OH: South-Western / Cengage Learning.</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Picot-Coupey, K., Burt, S., &amp; Cliquet, G. (2014).Retailers expansion mode choice in foreign </w:t>
      </w:r>
      <w:r w:rsidRPr="00FA5BFE">
        <w:rPr>
          <w:rFonts w:ascii="Times New Roman" w:hAnsi="Times New Roman" w:cs="Times New Roman"/>
          <w:sz w:val="24"/>
          <w:szCs w:val="24"/>
        </w:rPr>
        <w:tab/>
        <w:t xml:space="preserve">markets: Antecedents for expansion mode choice in the light of internationalization </w:t>
      </w:r>
      <w:r w:rsidRPr="00FA5BFE">
        <w:rPr>
          <w:rFonts w:ascii="Times New Roman" w:hAnsi="Times New Roman" w:cs="Times New Roman"/>
          <w:sz w:val="24"/>
          <w:szCs w:val="24"/>
        </w:rPr>
        <w:tab/>
        <w:t xml:space="preserve">theories. </w:t>
      </w:r>
      <w:r w:rsidRPr="00FA5BFE">
        <w:rPr>
          <w:rFonts w:ascii="Times New Roman" w:hAnsi="Times New Roman" w:cs="Times New Roman"/>
          <w:i/>
          <w:sz w:val="24"/>
          <w:szCs w:val="24"/>
        </w:rPr>
        <w:t xml:space="preserve">Journal of Consumer Services, </w:t>
      </w:r>
      <w:r w:rsidRPr="00FA5BFE">
        <w:rPr>
          <w:rFonts w:ascii="Times New Roman" w:hAnsi="Times New Roman" w:cs="Times New Roman"/>
          <w:sz w:val="24"/>
          <w:szCs w:val="24"/>
        </w:rPr>
        <w:t>21(6), 976-991.</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Ross, S., Westerfield, R., &amp; Jordan, B. (2017). Essentials of Corporate Finance. New York: </w:t>
      </w:r>
      <w:r>
        <w:rPr>
          <w:rFonts w:ascii="Times New Roman" w:hAnsi="Times New Roman" w:cs="Times New Roman"/>
          <w:sz w:val="24"/>
          <w:szCs w:val="24"/>
        </w:rPr>
        <w:tab/>
      </w:r>
      <w:r w:rsidRPr="00FA5BFE">
        <w:rPr>
          <w:rFonts w:ascii="Times New Roman" w:hAnsi="Times New Roman" w:cs="Times New Roman"/>
          <w:sz w:val="24"/>
          <w:szCs w:val="24"/>
        </w:rPr>
        <w:t>McGraw Hill Publication.</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Rossi, M. (2014). The New Ways to Raise Capital: An Exploratory Study of Crowdfunding. </w:t>
      </w:r>
      <w:r>
        <w:rPr>
          <w:rFonts w:ascii="Times New Roman" w:hAnsi="Times New Roman" w:cs="Times New Roman"/>
          <w:sz w:val="24"/>
          <w:szCs w:val="24"/>
        </w:rPr>
        <w:tab/>
      </w:r>
      <w:r w:rsidRPr="00FA5BFE">
        <w:rPr>
          <w:rFonts w:ascii="Times New Roman" w:hAnsi="Times New Roman" w:cs="Times New Roman"/>
          <w:i/>
          <w:sz w:val="24"/>
          <w:szCs w:val="24"/>
        </w:rPr>
        <w:t xml:space="preserve">International Journal of Financial Research. </w:t>
      </w:r>
      <w:r w:rsidRPr="00FA5BFE">
        <w:rPr>
          <w:rFonts w:ascii="Times New Roman" w:hAnsi="Times New Roman" w:cs="Times New Roman"/>
          <w:sz w:val="24"/>
          <w:szCs w:val="24"/>
        </w:rPr>
        <w:t>5(2), 8-18.</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Schwerdt, W. (2010). Pricing, Risk, and Performance Measurement in Practice. UK: Elsevier.</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Shvetsova, O., Rodionova, E., &amp; Epstein, M. (2018). Evaluation of investment projects under</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Sultan, A. (2014). Financial Statements Analysis - Measurement of Performance and </w:t>
      </w:r>
      <w:r>
        <w:rPr>
          <w:rFonts w:ascii="Times New Roman" w:hAnsi="Times New Roman" w:cs="Times New Roman"/>
          <w:sz w:val="24"/>
          <w:szCs w:val="24"/>
        </w:rPr>
        <w:tab/>
      </w:r>
      <w:r w:rsidRPr="00FA5BFE">
        <w:rPr>
          <w:rFonts w:ascii="Times New Roman" w:hAnsi="Times New Roman" w:cs="Times New Roman"/>
          <w:sz w:val="24"/>
          <w:szCs w:val="24"/>
        </w:rPr>
        <w:t xml:space="preserve">Profitability: Applied Study of Baghdad Soft-Drink Industry. </w:t>
      </w:r>
      <w:r w:rsidRPr="00FA5BFE">
        <w:rPr>
          <w:rFonts w:ascii="Times New Roman" w:hAnsi="Times New Roman" w:cs="Times New Roman"/>
          <w:i/>
          <w:sz w:val="24"/>
          <w:szCs w:val="24"/>
        </w:rPr>
        <w:t xml:space="preserve">Research Journal of </w:t>
      </w:r>
      <w:r>
        <w:rPr>
          <w:rFonts w:ascii="Times New Roman" w:hAnsi="Times New Roman" w:cs="Times New Roman"/>
          <w:i/>
          <w:sz w:val="24"/>
          <w:szCs w:val="24"/>
        </w:rPr>
        <w:tab/>
      </w:r>
      <w:r w:rsidRPr="00FA5BFE">
        <w:rPr>
          <w:rFonts w:ascii="Times New Roman" w:hAnsi="Times New Roman" w:cs="Times New Roman"/>
          <w:i/>
          <w:sz w:val="24"/>
          <w:szCs w:val="24"/>
        </w:rPr>
        <w:t>Finance and Accounting</w:t>
      </w:r>
      <w:r w:rsidRPr="00FA5BFE">
        <w:rPr>
          <w:rFonts w:ascii="Times New Roman" w:hAnsi="Times New Roman" w:cs="Times New Roman"/>
          <w:sz w:val="24"/>
          <w:szCs w:val="24"/>
        </w:rPr>
        <w:t>. 5(4), 49-56.</w:t>
      </w:r>
    </w:p>
    <w:p w:rsidR="00780966" w:rsidRPr="00FA5BFE" w:rsidRDefault="00780966" w:rsidP="00BA2F8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FA5BFE">
        <w:rPr>
          <w:rFonts w:ascii="Times New Roman" w:hAnsi="Times New Roman" w:cs="Times New Roman"/>
          <w:sz w:val="24"/>
          <w:szCs w:val="24"/>
        </w:rPr>
        <w:t xml:space="preserve">uncertainty: multi-criteria approach using interval data. </w:t>
      </w:r>
      <w:r w:rsidRPr="00FA5BFE">
        <w:rPr>
          <w:rFonts w:ascii="Times New Roman" w:hAnsi="Times New Roman" w:cs="Times New Roman"/>
          <w:i/>
          <w:sz w:val="24"/>
          <w:szCs w:val="24"/>
        </w:rPr>
        <w:t xml:space="preserve">Entrepreneurship and </w:t>
      </w:r>
      <w:r>
        <w:rPr>
          <w:rFonts w:ascii="Times New Roman" w:hAnsi="Times New Roman" w:cs="Times New Roman"/>
          <w:i/>
          <w:sz w:val="24"/>
          <w:szCs w:val="24"/>
        </w:rPr>
        <w:tab/>
      </w:r>
      <w:r w:rsidRPr="00FA5BFE">
        <w:rPr>
          <w:rFonts w:ascii="Times New Roman" w:hAnsi="Times New Roman" w:cs="Times New Roman"/>
          <w:i/>
          <w:sz w:val="24"/>
          <w:szCs w:val="24"/>
        </w:rPr>
        <w:t>Sustainability Issues</w:t>
      </w:r>
      <w:r w:rsidRPr="00FA5BFE">
        <w:rPr>
          <w:rFonts w:ascii="Times New Roman" w:hAnsi="Times New Roman" w:cs="Times New Roman"/>
          <w:sz w:val="24"/>
          <w:szCs w:val="24"/>
        </w:rPr>
        <w:t>, 5 (4), 914 - 928.</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Vijendra, C. (2014). Financial Forecasting. </w:t>
      </w:r>
      <w:r w:rsidRPr="00FA5BFE">
        <w:rPr>
          <w:rFonts w:ascii="Times New Roman" w:hAnsi="Times New Roman" w:cs="Times New Roman"/>
          <w:i/>
          <w:sz w:val="24"/>
          <w:szCs w:val="24"/>
        </w:rPr>
        <w:t xml:space="preserve">International Journal of Management and </w:t>
      </w:r>
      <w:r>
        <w:rPr>
          <w:rFonts w:ascii="Times New Roman" w:hAnsi="Times New Roman" w:cs="Times New Roman"/>
          <w:i/>
          <w:sz w:val="24"/>
          <w:szCs w:val="24"/>
        </w:rPr>
        <w:tab/>
      </w:r>
      <w:r w:rsidRPr="00FA5BFE">
        <w:rPr>
          <w:rFonts w:ascii="Times New Roman" w:hAnsi="Times New Roman" w:cs="Times New Roman"/>
          <w:i/>
          <w:sz w:val="24"/>
          <w:szCs w:val="24"/>
        </w:rPr>
        <w:t xml:space="preserve">International Business Studies. </w:t>
      </w:r>
      <w:r w:rsidRPr="00FA5BFE">
        <w:rPr>
          <w:rFonts w:ascii="Times New Roman" w:hAnsi="Times New Roman" w:cs="Times New Roman"/>
          <w:sz w:val="24"/>
          <w:szCs w:val="24"/>
        </w:rPr>
        <w:t>4(3), 371-374.</w:t>
      </w:r>
    </w:p>
    <w:p w:rsidR="00780966" w:rsidRPr="00FA5BFE" w:rsidRDefault="00780966" w:rsidP="00BA2F86">
      <w:pPr>
        <w:spacing w:after="0" w:line="480" w:lineRule="auto"/>
        <w:contextualSpacing/>
        <w:rPr>
          <w:rFonts w:ascii="Times New Roman" w:hAnsi="Times New Roman" w:cs="Times New Roman"/>
          <w:sz w:val="24"/>
          <w:szCs w:val="24"/>
        </w:rPr>
      </w:pPr>
      <w:r w:rsidRPr="00FA5BFE">
        <w:rPr>
          <w:rFonts w:ascii="Times New Roman" w:hAnsi="Times New Roman" w:cs="Times New Roman"/>
          <w:sz w:val="24"/>
          <w:szCs w:val="24"/>
        </w:rPr>
        <w:t xml:space="preserve">Yadiati, W. (2017). The Influence Of Profitability On Financial Distress: A Research On </w:t>
      </w:r>
      <w:r>
        <w:rPr>
          <w:rFonts w:ascii="Times New Roman" w:hAnsi="Times New Roman" w:cs="Times New Roman"/>
          <w:sz w:val="24"/>
          <w:szCs w:val="24"/>
        </w:rPr>
        <w:tab/>
      </w:r>
      <w:r w:rsidRPr="00FA5BFE">
        <w:rPr>
          <w:rFonts w:ascii="Times New Roman" w:hAnsi="Times New Roman" w:cs="Times New Roman"/>
          <w:sz w:val="24"/>
          <w:szCs w:val="24"/>
        </w:rPr>
        <w:t xml:space="preserve">Agricultural Companies Listed In Indonesia Stock Exchange. </w:t>
      </w:r>
      <w:r w:rsidRPr="00FA5BFE">
        <w:rPr>
          <w:rFonts w:ascii="Times New Roman" w:hAnsi="Times New Roman" w:cs="Times New Roman"/>
          <w:i/>
          <w:sz w:val="24"/>
          <w:szCs w:val="24"/>
        </w:rPr>
        <w:t xml:space="preserve">International Journal of </w:t>
      </w:r>
      <w:r>
        <w:rPr>
          <w:rFonts w:ascii="Times New Roman" w:hAnsi="Times New Roman" w:cs="Times New Roman"/>
          <w:i/>
          <w:sz w:val="24"/>
          <w:szCs w:val="24"/>
        </w:rPr>
        <w:tab/>
      </w:r>
      <w:r w:rsidRPr="00FA5BFE">
        <w:rPr>
          <w:rFonts w:ascii="Times New Roman" w:hAnsi="Times New Roman" w:cs="Times New Roman"/>
          <w:i/>
          <w:sz w:val="24"/>
          <w:szCs w:val="24"/>
        </w:rPr>
        <w:t xml:space="preserve">Scientific &amp; Technology Research. </w:t>
      </w:r>
      <w:r w:rsidRPr="00FA5BFE">
        <w:rPr>
          <w:rFonts w:ascii="Times New Roman" w:hAnsi="Times New Roman" w:cs="Times New Roman"/>
          <w:sz w:val="24"/>
          <w:szCs w:val="24"/>
        </w:rPr>
        <w:t>6(11), 233-237.</w:t>
      </w:r>
    </w:p>
    <w:p w:rsidR="000455E3" w:rsidRPr="00FA5BFE" w:rsidRDefault="000455E3" w:rsidP="00BA2F86">
      <w:pPr>
        <w:spacing w:after="0" w:line="480" w:lineRule="auto"/>
        <w:contextualSpacing/>
        <w:rPr>
          <w:rFonts w:ascii="Times New Roman" w:hAnsi="Times New Roman" w:cs="Times New Roman"/>
          <w:sz w:val="24"/>
          <w:szCs w:val="24"/>
        </w:rPr>
      </w:pPr>
    </w:p>
    <w:p w:rsidR="00C128EB" w:rsidRPr="00FA5BFE" w:rsidRDefault="00C128EB" w:rsidP="00BA2F86">
      <w:pPr>
        <w:spacing w:after="0" w:line="480" w:lineRule="auto"/>
        <w:contextualSpacing/>
        <w:rPr>
          <w:rFonts w:ascii="Times New Roman" w:hAnsi="Times New Roman" w:cs="Times New Roman"/>
          <w:sz w:val="24"/>
          <w:szCs w:val="24"/>
        </w:rPr>
      </w:pPr>
      <w:bookmarkStart w:id="1" w:name="_GoBack"/>
      <w:bookmarkEnd w:id="1"/>
    </w:p>
    <w:sectPr w:rsidR="00C128EB" w:rsidRPr="00FA5BFE" w:rsidSect="00D8564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D74" w:rsidRDefault="00695D74" w:rsidP="001D36C7">
      <w:pPr>
        <w:spacing w:after="0" w:line="240" w:lineRule="auto"/>
      </w:pPr>
      <w:r>
        <w:separator/>
      </w:r>
    </w:p>
  </w:endnote>
  <w:endnote w:type="continuationSeparator" w:id="0">
    <w:p w:rsidR="00695D74" w:rsidRDefault="00695D74" w:rsidP="001D3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D74" w:rsidRDefault="00695D74" w:rsidP="001D36C7">
      <w:pPr>
        <w:spacing w:after="0" w:line="240" w:lineRule="auto"/>
      </w:pPr>
      <w:r>
        <w:separator/>
      </w:r>
    </w:p>
  </w:footnote>
  <w:footnote w:type="continuationSeparator" w:id="0">
    <w:p w:rsidR="00695D74" w:rsidRDefault="00695D74" w:rsidP="001D36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6C7" w:rsidRPr="00D85647" w:rsidRDefault="00D85647" w:rsidP="00D85647">
    <w:pPr>
      <w:pStyle w:val="Header"/>
      <w:jc w:val="right"/>
      <w:rPr>
        <w:rFonts w:ascii="Times New Roman" w:hAnsi="Times New Roman" w:cs="Times New Roman"/>
        <w:sz w:val="24"/>
        <w:szCs w:val="24"/>
      </w:rPr>
    </w:pPr>
    <w:r>
      <w:rPr>
        <w:rFonts w:ascii="Times New Roman" w:hAnsi="Times New Roman" w:cs="Times New Roman"/>
        <w:sz w:val="24"/>
        <w:szCs w:val="24"/>
      </w:rPr>
      <w:t>P</w:t>
    </w:r>
    <w:r w:rsidR="001D36C7" w:rsidRPr="00D85647">
      <w:rPr>
        <w:rFonts w:ascii="Times New Roman" w:hAnsi="Times New Roman" w:cs="Times New Roman"/>
        <w:sz w:val="24"/>
        <w:szCs w:val="24"/>
      </w:rPr>
      <w:t>ROJECT DECISION MAKING</w:t>
    </w:r>
    <w:r w:rsidR="001D36C7" w:rsidRPr="00D85647">
      <w:rPr>
        <w:rFonts w:ascii="Times New Roman" w:hAnsi="Times New Roman" w:cs="Times New Roman"/>
        <w:sz w:val="24"/>
        <w:szCs w:val="24"/>
      </w:rPr>
      <w:tab/>
    </w:r>
    <w:r w:rsidR="001D36C7" w:rsidRPr="00D85647">
      <w:rPr>
        <w:rFonts w:ascii="Times New Roman" w:hAnsi="Times New Roman" w:cs="Times New Roman"/>
        <w:sz w:val="24"/>
        <w:szCs w:val="24"/>
      </w:rPr>
      <w:tab/>
    </w:r>
    <w:sdt>
      <w:sdtPr>
        <w:rPr>
          <w:rFonts w:ascii="Times New Roman" w:hAnsi="Times New Roman" w:cs="Times New Roman"/>
          <w:sz w:val="24"/>
          <w:szCs w:val="24"/>
        </w:rPr>
        <w:id w:val="1719395493"/>
        <w:docPartObj>
          <w:docPartGallery w:val="Page Numbers (Top of Page)"/>
          <w:docPartUnique/>
        </w:docPartObj>
      </w:sdtPr>
      <w:sdtEndPr>
        <w:rPr>
          <w:noProof/>
        </w:rPr>
      </w:sdtEndPr>
      <w:sdtContent>
        <w:r w:rsidR="001D36C7" w:rsidRPr="00D85647">
          <w:rPr>
            <w:rFonts w:ascii="Times New Roman" w:hAnsi="Times New Roman" w:cs="Times New Roman"/>
            <w:sz w:val="24"/>
            <w:szCs w:val="24"/>
          </w:rPr>
          <w:fldChar w:fldCharType="begin"/>
        </w:r>
        <w:r w:rsidR="001D36C7" w:rsidRPr="00D85647">
          <w:rPr>
            <w:rFonts w:ascii="Times New Roman" w:hAnsi="Times New Roman" w:cs="Times New Roman"/>
            <w:sz w:val="24"/>
            <w:szCs w:val="24"/>
          </w:rPr>
          <w:instrText xml:space="preserve"> PAGE   \* MERGEFORMAT </w:instrText>
        </w:r>
        <w:r w:rsidR="001D36C7" w:rsidRPr="00D85647">
          <w:rPr>
            <w:rFonts w:ascii="Times New Roman" w:hAnsi="Times New Roman" w:cs="Times New Roman"/>
            <w:sz w:val="24"/>
            <w:szCs w:val="24"/>
          </w:rPr>
          <w:fldChar w:fldCharType="separate"/>
        </w:r>
        <w:r w:rsidR="00BA2F86">
          <w:rPr>
            <w:rFonts w:ascii="Times New Roman" w:hAnsi="Times New Roman" w:cs="Times New Roman"/>
            <w:noProof/>
            <w:sz w:val="24"/>
            <w:szCs w:val="24"/>
          </w:rPr>
          <w:t>12</w:t>
        </w:r>
        <w:r w:rsidR="001D36C7" w:rsidRPr="00D85647">
          <w:rPr>
            <w:rFonts w:ascii="Times New Roman" w:hAnsi="Times New Roman" w:cs="Times New Roman"/>
            <w:noProof/>
            <w:sz w:val="24"/>
            <w:szCs w:val="24"/>
          </w:rPr>
          <w:fldChar w:fldCharType="end"/>
        </w:r>
      </w:sdtContent>
    </w:sdt>
  </w:p>
  <w:p w:rsidR="001D36C7" w:rsidRPr="00D85647" w:rsidRDefault="001D36C7" w:rsidP="00D8564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647" w:rsidRPr="00D85647" w:rsidRDefault="00D85647" w:rsidP="00D85647">
    <w:pPr>
      <w:pStyle w:val="Header"/>
      <w:jc w:val="right"/>
      <w:rPr>
        <w:rFonts w:ascii="Times New Roman" w:hAnsi="Times New Roman" w:cs="Times New Roman"/>
        <w:sz w:val="24"/>
        <w:szCs w:val="24"/>
      </w:rPr>
    </w:pPr>
    <w:r w:rsidRPr="00D85647">
      <w:rPr>
        <w:rFonts w:ascii="Times New Roman" w:hAnsi="Times New Roman" w:cs="Times New Roman"/>
        <w:sz w:val="24"/>
        <w:szCs w:val="24"/>
      </w:rPr>
      <w:t>Running head:</w:t>
    </w:r>
    <w:r>
      <w:rPr>
        <w:rFonts w:ascii="Times New Roman" w:hAnsi="Times New Roman" w:cs="Times New Roman"/>
        <w:sz w:val="24"/>
        <w:szCs w:val="24"/>
      </w:rPr>
      <w:t xml:space="preserve"> </w:t>
    </w:r>
    <w:r w:rsidRPr="00D85647">
      <w:rPr>
        <w:rFonts w:ascii="Times New Roman" w:hAnsi="Times New Roman" w:cs="Times New Roman"/>
        <w:sz w:val="24"/>
        <w:szCs w:val="24"/>
      </w:rPr>
      <w:t>PROJECT DECISION MAKING</w:t>
    </w:r>
    <w:r w:rsidRPr="00D85647">
      <w:rPr>
        <w:rFonts w:ascii="Times New Roman" w:hAnsi="Times New Roman" w:cs="Times New Roman"/>
        <w:sz w:val="24"/>
        <w:szCs w:val="24"/>
      </w:rPr>
      <w:tab/>
    </w:r>
    <w:sdt>
      <w:sdtPr>
        <w:rPr>
          <w:rFonts w:ascii="Times New Roman" w:hAnsi="Times New Roman" w:cs="Times New Roman"/>
          <w:sz w:val="24"/>
          <w:szCs w:val="24"/>
        </w:rPr>
        <w:id w:val="534694233"/>
        <w:docPartObj>
          <w:docPartGallery w:val="Page Numbers (Top of Page)"/>
          <w:docPartUnique/>
        </w:docPartObj>
      </w:sdtPr>
      <w:sdtEndPr>
        <w:rPr>
          <w:noProof/>
        </w:rPr>
      </w:sdtEndPr>
      <w:sdtContent>
        <w:r w:rsidRPr="00D85647">
          <w:rPr>
            <w:rFonts w:ascii="Times New Roman" w:hAnsi="Times New Roman" w:cs="Times New Roman"/>
            <w:sz w:val="24"/>
            <w:szCs w:val="24"/>
          </w:rPr>
          <w:fldChar w:fldCharType="begin"/>
        </w:r>
        <w:r w:rsidRPr="00D85647">
          <w:rPr>
            <w:rFonts w:ascii="Times New Roman" w:hAnsi="Times New Roman" w:cs="Times New Roman"/>
            <w:sz w:val="24"/>
            <w:szCs w:val="24"/>
          </w:rPr>
          <w:instrText xml:space="preserve"> PAGE   \* MERGEFORMAT </w:instrText>
        </w:r>
        <w:r w:rsidRPr="00D85647">
          <w:rPr>
            <w:rFonts w:ascii="Times New Roman" w:hAnsi="Times New Roman" w:cs="Times New Roman"/>
            <w:sz w:val="24"/>
            <w:szCs w:val="24"/>
          </w:rPr>
          <w:fldChar w:fldCharType="separate"/>
        </w:r>
        <w:r w:rsidR="00695D74">
          <w:rPr>
            <w:rFonts w:ascii="Times New Roman" w:hAnsi="Times New Roman" w:cs="Times New Roman"/>
            <w:noProof/>
            <w:sz w:val="24"/>
            <w:szCs w:val="24"/>
          </w:rPr>
          <w:t>1</w:t>
        </w:r>
        <w:r w:rsidRPr="00D85647">
          <w:rPr>
            <w:rFonts w:ascii="Times New Roman" w:hAnsi="Times New Roman" w:cs="Times New Roman"/>
            <w:noProof/>
            <w:sz w:val="24"/>
            <w:szCs w:val="24"/>
          </w:rPr>
          <w:fldChar w:fldCharType="end"/>
        </w:r>
      </w:sdtContent>
    </w:sdt>
  </w:p>
  <w:p w:rsidR="001D36C7" w:rsidRDefault="001D36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680"/>
    <w:rsid w:val="000061C2"/>
    <w:rsid w:val="00020B75"/>
    <w:rsid w:val="00030321"/>
    <w:rsid w:val="000455E3"/>
    <w:rsid w:val="00051B6C"/>
    <w:rsid w:val="00085C44"/>
    <w:rsid w:val="00091DAF"/>
    <w:rsid w:val="000A37F0"/>
    <w:rsid w:val="000B1486"/>
    <w:rsid w:val="000D1B49"/>
    <w:rsid w:val="000E0DF0"/>
    <w:rsid w:val="000E169C"/>
    <w:rsid w:val="000F46CE"/>
    <w:rsid w:val="00104E1D"/>
    <w:rsid w:val="00117ABD"/>
    <w:rsid w:val="0013141C"/>
    <w:rsid w:val="001428C1"/>
    <w:rsid w:val="0015041E"/>
    <w:rsid w:val="001617B0"/>
    <w:rsid w:val="00185327"/>
    <w:rsid w:val="00186FAB"/>
    <w:rsid w:val="001918D9"/>
    <w:rsid w:val="0019373F"/>
    <w:rsid w:val="00195DA5"/>
    <w:rsid w:val="00195DFE"/>
    <w:rsid w:val="001A0A15"/>
    <w:rsid w:val="001C4BAD"/>
    <w:rsid w:val="001D36C7"/>
    <w:rsid w:val="001E2EDE"/>
    <w:rsid w:val="00227495"/>
    <w:rsid w:val="00290569"/>
    <w:rsid w:val="00292060"/>
    <w:rsid w:val="002B4B0A"/>
    <w:rsid w:val="002C3B8D"/>
    <w:rsid w:val="002E2AE2"/>
    <w:rsid w:val="0033309E"/>
    <w:rsid w:val="00334D84"/>
    <w:rsid w:val="00336091"/>
    <w:rsid w:val="00370DBE"/>
    <w:rsid w:val="00382F71"/>
    <w:rsid w:val="00396DB4"/>
    <w:rsid w:val="003A7495"/>
    <w:rsid w:val="003B1751"/>
    <w:rsid w:val="003C312D"/>
    <w:rsid w:val="003D406E"/>
    <w:rsid w:val="003E3A23"/>
    <w:rsid w:val="003E545E"/>
    <w:rsid w:val="003F5DBB"/>
    <w:rsid w:val="0040348F"/>
    <w:rsid w:val="0043682E"/>
    <w:rsid w:val="00442CF8"/>
    <w:rsid w:val="00446806"/>
    <w:rsid w:val="004557F7"/>
    <w:rsid w:val="004572F5"/>
    <w:rsid w:val="00461643"/>
    <w:rsid w:val="00461C16"/>
    <w:rsid w:val="00461E8D"/>
    <w:rsid w:val="0046596C"/>
    <w:rsid w:val="00484FCF"/>
    <w:rsid w:val="004918A6"/>
    <w:rsid w:val="004942FF"/>
    <w:rsid w:val="004A12D5"/>
    <w:rsid w:val="004E6DF7"/>
    <w:rsid w:val="004F69A5"/>
    <w:rsid w:val="00524643"/>
    <w:rsid w:val="005319CE"/>
    <w:rsid w:val="00536A8E"/>
    <w:rsid w:val="005514F3"/>
    <w:rsid w:val="00570DB4"/>
    <w:rsid w:val="00574739"/>
    <w:rsid w:val="005764B8"/>
    <w:rsid w:val="00580EFA"/>
    <w:rsid w:val="00584455"/>
    <w:rsid w:val="00585C10"/>
    <w:rsid w:val="005A7D98"/>
    <w:rsid w:val="005A7FB7"/>
    <w:rsid w:val="005C3F51"/>
    <w:rsid w:val="005C67C6"/>
    <w:rsid w:val="005D6BCF"/>
    <w:rsid w:val="005D79F2"/>
    <w:rsid w:val="005E696A"/>
    <w:rsid w:val="0061786E"/>
    <w:rsid w:val="006325AB"/>
    <w:rsid w:val="0063389D"/>
    <w:rsid w:val="0063736E"/>
    <w:rsid w:val="006447D0"/>
    <w:rsid w:val="00646657"/>
    <w:rsid w:val="006479DE"/>
    <w:rsid w:val="00665DDA"/>
    <w:rsid w:val="00685D8F"/>
    <w:rsid w:val="00695D74"/>
    <w:rsid w:val="006F145A"/>
    <w:rsid w:val="00754B2F"/>
    <w:rsid w:val="00755CCD"/>
    <w:rsid w:val="00780966"/>
    <w:rsid w:val="007A2457"/>
    <w:rsid w:val="007B3A1F"/>
    <w:rsid w:val="007B4E22"/>
    <w:rsid w:val="007C03EC"/>
    <w:rsid w:val="0080724E"/>
    <w:rsid w:val="00825500"/>
    <w:rsid w:val="00843691"/>
    <w:rsid w:val="00854335"/>
    <w:rsid w:val="00861B2E"/>
    <w:rsid w:val="00864BED"/>
    <w:rsid w:val="00870630"/>
    <w:rsid w:val="0087791E"/>
    <w:rsid w:val="00891923"/>
    <w:rsid w:val="00893148"/>
    <w:rsid w:val="008A0665"/>
    <w:rsid w:val="008A5E80"/>
    <w:rsid w:val="008B2C4A"/>
    <w:rsid w:val="008B5666"/>
    <w:rsid w:val="008C3712"/>
    <w:rsid w:val="009038ED"/>
    <w:rsid w:val="00911045"/>
    <w:rsid w:val="00921C46"/>
    <w:rsid w:val="009220CA"/>
    <w:rsid w:val="009238A7"/>
    <w:rsid w:val="00933CB5"/>
    <w:rsid w:val="00945321"/>
    <w:rsid w:val="009613FE"/>
    <w:rsid w:val="00961F6C"/>
    <w:rsid w:val="009B1ED8"/>
    <w:rsid w:val="009C22CB"/>
    <w:rsid w:val="009C30C9"/>
    <w:rsid w:val="00A0267E"/>
    <w:rsid w:val="00A07429"/>
    <w:rsid w:val="00A132CD"/>
    <w:rsid w:val="00A40C93"/>
    <w:rsid w:val="00A42708"/>
    <w:rsid w:val="00A43329"/>
    <w:rsid w:val="00A4692D"/>
    <w:rsid w:val="00A5134B"/>
    <w:rsid w:val="00A537ED"/>
    <w:rsid w:val="00A64EC3"/>
    <w:rsid w:val="00A70348"/>
    <w:rsid w:val="00A710D6"/>
    <w:rsid w:val="00AA7616"/>
    <w:rsid w:val="00AC6782"/>
    <w:rsid w:val="00AC698E"/>
    <w:rsid w:val="00AD4B06"/>
    <w:rsid w:val="00AE4343"/>
    <w:rsid w:val="00AF710E"/>
    <w:rsid w:val="00B0059C"/>
    <w:rsid w:val="00B309DE"/>
    <w:rsid w:val="00B37649"/>
    <w:rsid w:val="00B412FA"/>
    <w:rsid w:val="00B549FF"/>
    <w:rsid w:val="00B55B12"/>
    <w:rsid w:val="00B6019C"/>
    <w:rsid w:val="00B632FC"/>
    <w:rsid w:val="00B80521"/>
    <w:rsid w:val="00B81020"/>
    <w:rsid w:val="00BA2F86"/>
    <w:rsid w:val="00BD7749"/>
    <w:rsid w:val="00BE3954"/>
    <w:rsid w:val="00BE5443"/>
    <w:rsid w:val="00C03549"/>
    <w:rsid w:val="00C128EB"/>
    <w:rsid w:val="00C12997"/>
    <w:rsid w:val="00C2087D"/>
    <w:rsid w:val="00C63075"/>
    <w:rsid w:val="00C6432E"/>
    <w:rsid w:val="00C67D9C"/>
    <w:rsid w:val="00CA10B2"/>
    <w:rsid w:val="00CE584A"/>
    <w:rsid w:val="00CF1379"/>
    <w:rsid w:val="00D12688"/>
    <w:rsid w:val="00D217E8"/>
    <w:rsid w:val="00D2271C"/>
    <w:rsid w:val="00D243C7"/>
    <w:rsid w:val="00D41DA0"/>
    <w:rsid w:val="00D67E8D"/>
    <w:rsid w:val="00D726C1"/>
    <w:rsid w:val="00D85647"/>
    <w:rsid w:val="00D858D9"/>
    <w:rsid w:val="00D862B4"/>
    <w:rsid w:val="00D90ABC"/>
    <w:rsid w:val="00DA7D89"/>
    <w:rsid w:val="00DB217C"/>
    <w:rsid w:val="00DC11A8"/>
    <w:rsid w:val="00DD32AA"/>
    <w:rsid w:val="00E007FD"/>
    <w:rsid w:val="00E02ABF"/>
    <w:rsid w:val="00E05680"/>
    <w:rsid w:val="00E102DC"/>
    <w:rsid w:val="00E13AD8"/>
    <w:rsid w:val="00E2769C"/>
    <w:rsid w:val="00E3156F"/>
    <w:rsid w:val="00E504CB"/>
    <w:rsid w:val="00E6173C"/>
    <w:rsid w:val="00E75673"/>
    <w:rsid w:val="00E910B8"/>
    <w:rsid w:val="00EB0AFF"/>
    <w:rsid w:val="00EB26FD"/>
    <w:rsid w:val="00ED7733"/>
    <w:rsid w:val="00F112E6"/>
    <w:rsid w:val="00F23C93"/>
    <w:rsid w:val="00F3479D"/>
    <w:rsid w:val="00F845AC"/>
    <w:rsid w:val="00FA5BFE"/>
    <w:rsid w:val="00FB7DE9"/>
    <w:rsid w:val="00FC09F8"/>
    <w:rsid w:val="00FD26B9"/>
    <w:rsid w:val="00FE1274"/>
    <w:rsid w:val="00FE6CBF"/>
    <w:rsid w:val="00FE6FEE"/>
    <w:rsid w:val="00FF1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6C7"/>
  </w:style>
  <w:style w:type="paragraph" w:styleId="Footer">
    <w:name w:val="footer"/>
    <w:basedOn w:val="Normal"/>
    <w:link w:val="FooterChar"/>
    <w:uiPriority w:val="99"/>
    <w:unhideWhenUsed/>
    <w:rsid w:val="001D3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6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6C7"/>
  </w:style>
  <w:style w:type="paragraph" w:styleId="Footer">
    <w:name w:val="footer"/>
    <w:basedOn w:val="Normal"/>
    <w:link w:val="FooterChar"/>
    <w:uiPriority w:val="99"/>
    <w:unhideWhenUsed/>
    <w:rsid w:val="001D3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3145</Words>
  <Characters>17930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2019-08-25T12:12:00Z</dcterms:created>
  <dcterms:modified xsi:type="dcterms:W3CDTF">2019-08-25T12:12:00Z</dcterms:modified>
</cp:coreProperties>
</file>